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4B3774D8" w:rsidR="006F4B4E"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C154CD">
        <w:rPr>
          <w:rFonts w:ascii="Arial" w:hAnsi="Arial" w:cs="Arial"/>
          <w:b/>
          <w:bCs/>
          <w:color w:val="FF0000"/>
          <w:sz w:val="28"/>
          <w:szCs w:val="28"/>
        </w:rPr>
        <w:t>Fri</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C154CD">
        <w:rPr>
          <w:rFonts w:ascii="Arial" w:hAnsi="Arial" w:cs="Arial"/>
          <w:b/>
          <w:bCs/>
          <w:color w:val="FF0000"/>
          <w:sz w:val="28"/>
          <w:szCs w:val="28"/>
        </w:rPr>
        <w:t>8</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456"/>
        <w:gridCol w:w="1577"/>
        <w:gridCol w:w="1714"/>
        <w:gridCol w:w="1493"/>
      </w:tblGrid>
      <w:tr w:rsidR="00C154CD" w14:paraId="562038F3" w14:textId="77777777" w:rsidTr="00C154CD">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600FB85A" w14:textId="77777777" w:rsidR="00C154CD" w:rsidRDefault="00C154CD" w:rsidP="00C154CD">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C154CD" w14:paraId="74FAD9B3" w14:textId="77777777" w:rsidTr="00C154CD">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359D77" w14:textId="77777777" w:rsidR="00C154CD" w:rsidRDefault="00C154CD" w:rsidP="00C154CD">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E6BA3D" w14:textId="77777777" w:rsidR="00C154CD" w:rsidRDefault="00C154CD" w:rsidP="00C154CD">
            <w:pPr>
              <w:spacing w:after="0" w:line="20" w:lineRule="atLeast"/>
              <w:jc w:val="center"/>
              <w:rPr>
                <w:rFonts w:eastAsia="Times New Roman"/>
                <w:color w:val="000000"/>
                <w:sz w:val="24"/>
                <w:szCs w:val="24"/>
              </w:rPr>
            </w:pPr>
            <w:r>
              <w:rPr>
                <w:rFonts w:eastAsia="Times New Roman"/>
                <w:color w:val="000000"/>
                <w:sz w:val="24"/>
                <w:szCs w:val="24"/>
              </w:rPr>
              <w:t>5/7/20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83B876" w14:textId="77777777" w:rsidR="00C154CD" w:rsidRDefault="00C154CD" w:rsidP="00C154CD">
            <w:pPr>
              <w:spacing w:after="0" w:line="20" w:lineRule="atLeast"/>
              <w:jc w:val="center"/>
              <w:rPr>
                <w:rFonts w:eastAsia="Times New Roman"/>
                <w:color w:val="000000"/>
                <w:sz w:val="24"/>
                <w:szCs w:val="24"/>
              </w:rPr>
            </w:pPr>
            <w:r>
              <w:rPr>
                <w:rFonts w:eastAsia="Times New Roman"/>
                <w:color w:val="000000"/>
                <w:sz w:val="24"/>
                <w:szCs w:val="24"/>
              </w:rPr>
              <w:t>5/8/20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485BE9" w14:textId="77777777" w:rsidR="00C154CD" w:rsidRDefault="00C154CD" w:rsidP="00C154CD">
            <w:pPr>
              <w:spacing w:after="0" w:line="20" w:lineRule="atLeast"/>
              <w:jc w:val="center"/>
              <w:rPr>
                <w:rFonts w:eastAsia="Times New Roman"/>
                <w:color w:val="000000"/>
                <w:sz w:val="24"/>
                <w:szCs w:val="24"/>
              </w:rPr>
            </w:pPr>
            <w:proofErr w:type="gramStart"/>
            <w:r>
              <w:rPr>
                <w:rFonts w:eastAsia="Times New Roman"/>
                <w:color w:val="000000"/>
                <w:sz w:val="24"/>
                <w:szCs w:val="24"/>
              </w:rPr>
              <w:t>Deaths  5</w:t>
            </w:r>
            <w:proofErr w:type="gramEnd"/>
            <w:r>
              <w:rPr>
                <w:rFonts w:eastAsia="Times New Roman"/>
                <w:color w:val="000000"/>
                <w:sz w:val="24"/>
                <w:szCs w:val="24"/>
              </w:rPr>
              <w:t>/8/20 am</w:t>
            </w:r>
          </w:p>
        </w:tc>
      </w:tr>
      <w:tr w:rsidR="00C154CD" w14:paraId="139CD03E"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7EA2FC" w14:textId="77777777" w:rsidR="00C154CD" w:rsidRDefault="00C154CD" w:rsidP="00C154CD">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3F7A3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863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411DB9"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874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1E1872"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53</w:t>
            </w:r>
          </w:p>
        </w:tc>
      </w:tr>
      <w:tr w:rsidR="00C154CD" w14:paraId="0299A50B"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ED93B3" w14:textId="77777777" w:rsidR="00C154CD" w:rsidRDefault="00C154CD" w:rsidP="00C154CD">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47DDD9"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933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167A90"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935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68E803"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50</w:t>
            </w:r>
          </w:p>
        </w:tc>
      </w:tr>
      <w:tr w:rsidR="00C154CD" w14:paraId="50427965"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5D447A" w14:textId="77777777" w:rsidR="00C154CD" w:rsidRDefault="00C154CD" w:rsidP="00C154CD">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18DFF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102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555AA0"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82A00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6</w:t>
            </w:r>
          </w:p>
        </w:tc>
      </w:tr>
      <w:tr w:rsidR="00C154CD" w14:paraId="7CF5E2FC"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3808C3" w14:textId="77777777" w:rsidR="00C154CD" w:rsidRDefault="00C154CD" w:rsidP="00C154CD">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B4D7FC"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CED2C3"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355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785231"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85</w:t>
            </w:r>
          </w:p>
        </w:tc>
      </w:tr>
      <w:tr w:rsidR="00C154CD" w14:paraId="5945D847"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11DECD" w14:textId="77777777" w:rsidR="00C154CD" w:rsidRDefault="00C154CD" w:rsidP="00C154CD">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9D1EB0"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1633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AF12F7"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1633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776AB8"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151</w:t>
            </w:r>
          </w:p>
        </w:tc>
      </w:tr>
      <w:tr w:rsidR="00C154CD" w14:paraId="78E44BFD"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8707EA" w14:textId="77777777" w:rsidR="00C154CD" w:rsidRDefault="00C154CD" w:rsidP="00C154CD">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4779F8"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1EF064"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F9093C"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2</w:t>
            </w:r>
          </w:p>
        </w:tc>
      </w:tr>
      <w:tr w:rsidR="00C154CD" w14:paraId="6DC44017"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44193A" w14:textId="77777777" w:rsidR="00C154CD" w:rsidRDefault="00C154CD" w:rsidP="00C154CD">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88AAB2"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096CB2"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122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9BB039"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15</w:t>
            </w:r>
          </w:p>
        </w:tc>
      </w:tr>
      <w:tr w:rsidR="00C154CD" w14:paraId="7B9C015B"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CDB93D7" w14:textId="77777777" w:rsidR="00C154CD" w:rsidRDefault="00C154CD" w:rsidP="00C154CD">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C35EB9"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159ADA"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E26727"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7</w:t>
            </w:r>
          </w:p>
        </w:tc>
      </w:tr>
      <w:tr w:rsidR="00C154CD" w14:paraId="537227A8"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ECF71F" w14:textId="77777777" w:rsidR="00C154CD" w:rsidRDefault="00C154CD" w:rsidP="00C154CD">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D12BDD"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1194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8CA1B0"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1206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23C611"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130</w:t>
            </w:r>
          </w:p>
        </w:tc>
      </w:tr>
      <w:tr w:rsidR="00C154CD" w14:paraId="46240B19"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683BAF" w14:textId="77777777" w:rsidR="00C154CD" w:rsidRDefault="00C154CD" w:rsidP="00C154CD">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C698BF"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DE87A5"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067785"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59</w:t>
            </w:r>
          </w:p>
        </w:tc>
      </w:tr>
      <w:tr w:rsidR="00C154CD" w14:paraId="74D25F02"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CA997E" w14:textId="77777777" w:rsidR="00C154CD" w:rsidRDefault="00C154CD" w:rsidP="00C154CD">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6F67B1"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269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E9C0F3"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264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9C0756"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22</w:t>
            </w:r>
          </w:p>
        </w:tc>
      </w:tr>
      <w:tr w:rsidR="00C154CD" w14:paraId="4E7A15D1"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93B7BA" w14:textId="77777777" w:rsidR="00C154CD" w:rsidRDefault="00C154CD" w:rsidP="00C154CD">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FC38E8"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1FEA0F"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6309C2"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5</w:t>
            </w:r>
          </w:p>
        </w:tc>
      </w:tr>
      <w:tr w:rsidR="00C154CD" w14:paraId="0C2A0E34" w14:textId="77777777" w:rsidTr="00C154CD">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A3D190" w14:textId="77777777" w:rsidR="00C154CD" w:rsidRDefault="00C154CD" w:rsidP="00C154CD">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AB4498"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376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737FC5"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381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F9687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38</w:t>
            </w:r>
          </w:p>
        </w:tc>
      </w:tr>
      <w:tr w:rsidR="00C154CD" w14:paraId="01218EF7"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6F9A5C" w14:textId="77777777" w:rsidR="00C154CD" w:rsidRDefault="00C154CD" w:rsidP="00C154CD">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81A17A"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6111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1C87EE"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6147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97A1A9"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485</w:t>
            </w:r>
          </w:p>
        </w:tc>
      </w:tr>
      <w:tr w:rsidR="00C154CD" w14:paraId="66907987"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76408A" w14:textId="77777777" w:rsidR="00C154CD" w:rsidRDefault="00C154CD" w:rsidP="00C154CD">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96F1C8"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67095"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D9BF66"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w:t>
            </w:r>
          </w:p>
        </w:tc>
      </w:tr>
      <w:tr w:rsidR="00C154CD" w14:paraId="7038F671"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932934" w14:textId="77777777" w:rsidR="00C154CD" w:rsidRDefault="00C154CD" w:rsidP="00C154CD">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A07EB7"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2A0F9E"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449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A5F1C5"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29</w:t>
            </w:r>
          </w:p>
        </w:tc>
      </w:tr>
      <w:tr w:rsidR="00C154CD" w14:paraId="0BE236D4"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53521F" w14:textId="77777777" w:rsidR="00C154CD" w:rsidRDefault="00C154CD" w:rsidP="00C154CD">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825FE2"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744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A514CD"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761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1BE30D"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57</w:t>
            </w:r>
          </w:p>
        </w:tc>
      </w:tr>
      <w:tr w:rsidR="00C154CD" w14:paraId="7191BA64"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5E12F9" w14:textId="77777777" w:rsidR="00C154CD" w:rsidRDefault="00C154CD" w:rsidP="00C154CD">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0A9786"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71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63CAF2"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6D70E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13</w:t>
            </w:r>
          </w:p>
        </w:tc>
      </w:tr>
      <w:tr w:rsidR="00C154CD" w14:paraId="491C6D9B"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A8720E" w14:textId="77777777" w:rsidR="00C154CD" w:rsidRDefault="00C154CD" w:rsidP="00C154CD">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2C7A4D"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5C8F27"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EC80F7"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4</w:t>
            </w:r>
          </w:p>
        </w:tc>
      </w:tr>
      <w:tr w:rsidR="00C154CD" w14:paraId="120DBB26"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A5A009" w14:textId="77777777" w:rsidR="00C154CD" w:rsidRDefault="00C154CD" w:rsidP="00C154CD">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F9531D"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F62AD8"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D679D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11</w:t>
            </w:r>
          </w:p>
        </w:tc>
      </w:tr>
      <w:tr w:rsidR="00C154CD" w14:paraId="77B3A908"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D16C8F" w14:textId="77777777" w:rsidR="00C154CD" w:rsidRDefault="00C154CD" w:rsidP="00C154CD">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3E75EE"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EE5FA"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09A2B3"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36</w:t>
            </w:r>
          </w:p>
        </w:tc>
      </w:tr>
      <w:tr w:rsidR="00C154CD" w14:paraId="0B3EA646"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688959" w14:textId="77777777" w:rsidR="00C154CD" w:rsidRDefault="00C154CD" w:rsidP="00C154CD">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69F579"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1012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FAEA23"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1013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F52FFB"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140</w:t>
            </w:r>
          </w:p>
        </w:tc>
      </w:tr>
      <w:tr w:rsidR="00C154CD" w14:paraId="04D78013"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7D8918" w14:textId="77777777" w:rsidR="00C154CD" w:rsidRDefault="00C154CD" w:rsidP="00C154CD">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014A5D"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15254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8EBA4F" w14:textId="77777777" w:rsidR="00C154CD" w:rsidRDefault="00C154CD" w:rsidP="00C154CD">
            <w:pPr>
              <w:spacing w:after="0" w:line="20" w:lineRule="atLeast"/>
              <w:jc w:val="center"/>
              <w:rPr>
                <w:rFonts w:eastAsia="Times New Roman"/>
                <w:color w:val="323130"/>
                <w:sz w:val="24"/>
                <w:szCs w:val="24"/>
              </w:rPr>
            </w:pPr>
            <w:r>
              <w:rPr>
                <w:rFonts w:eastAsia="Times New Roman"/>
                <w:color w:val="323130"/>
                <w:sz w:val="24"/>
                <w:szCs w:val="24"/>
              </w:rPr>
              <w:t>15350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8E5174" w14:textId="77777777" w:rsidR="00C154CD" w:rsidRDefault="00C154CD" w:rsidP="00C154CD">
            <w:pPr>
              <w:spacing w:after="0" w:line="20" w:lineRule="atLeast"/>
              <w:jc w:val="center"/>
              <w:rPr>
                <w:rFonts w:eastAsia="Times New Roman"/>
                <w:color w:val="000000"/>
                <w:sz w:val="24"/>
                <w:szCs w:val="24"/>
              </w:rPr>
            </w:pPr>
            <w:r>
              <w:rPr>
                <w:rFonts w:eastAsia="Times New Roman"/>
                <w:color w:val="000000"/>
                <w:sz w:val="24"/>
                <w:szCs w:val="24"/>
              </w:rPr>
              <w:t>1402</w:t>
            </w:r>
          </w:p>
        </w:tc>
      </w:tr>
      <w:tr w:rsidR="00C154CD" w14:paraId="649B0688"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58FD77" w14:textId="77777777" w:rsidR="00C154CD" w:rsidRDefault="00C154CD" w:rsidP="00C154CD">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00B0A6" w14:textId="77777777" w:rsidR="00C154CD" w:rsidRDefault="00C154CD" w:rsidP="00C154CD">
            <w:pPr>
              <w:spacing w:after="0" w:line="20" w:lineRule="atLeast"/>
              <w:jc w:val="center"/>
              <w:rPr>
                <w:rFonts w:eastAsia="Times New Roman"/>
                <w:sz w:val="24"/>
                <w:szCs w:val="24"/>
              </w:rPr>
            </w:pPr>
            <w:r>
              <w:rPr>
                <w:rFonts w:eastAsia="Times New Roman"/>
                <w:sz w:val="24"/>
                <w:szCs w:val="24"/>
              </w:rPr>
              <w:t>16989</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8591CA" w14:textId="77777777" w:rsidR="00C154CD" w:rsidRDefault="00C154CD" w:rsidP="00C154CD">
            <w:pPr>
              <w:spacing w:after="0" w:line="20" w:lineRule="atLeast"/>
              <w:jc w:val="center"/>
              <w:rPr>
                <w:rFonts w:eastAsia="Times New Roman"/>
                <w:sz w:val="24"/>
                <w:szCs w:val="24"/>
              </w:rPr>
            </w:pPr>
            <w:r>
              <w:rPr>
                <w:rFonts w:eastAsia="Times New Roman"/>
                <w:sz w:val="24"/>
                <w:szCs w:val="24"/>
              </w:rPr>
              <w:t>17331</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5B36E925" w14:textId="77777777" w:rsidR="00C154CD" w:rsidRDefault="00C154CD" w:rsidP="00C154CD">
            <w:pPr>
              <w:spacing w:after="0" w:line="20" w:lineRule="atLeast"/>
              <w:rPr>
                <w:rFonts w:eastAsia="Times New Roman"/>
                <w:color w:val="000000"/>
              </w:rPr>
            </w:pPr>
            <w:r>
              <w:rPr>
                <w:rFonts w:eastAsia="Times New Roman"/>
                <w:color w:val="000000"/>
              </w:rPr>
              <w:t> </w:t>
            </w:r>
          </w:p>
        </w:tc>
      </w:tr>
      <w:tr w:rsidR="00C154CD" w14:paraId="7D684856" w14:textId="77777777" w:rsidTr="00C154CD">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56844C" w14:textId="77777777" w:rsidR="00C154CD" w:rsidRDefault="00C154CD" w:rsidP="00C154CD">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1E18DF" w14:textId="77777777" w:rsidR="00C154CD" w:rsidRDefault="00C154CD" w:rsidP="00C154CD">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AD04DF" w14:textId="77777777" w:rsidR="00C154CD" w:rsidRDefault="00C154CD" w:rsidP="00C154CD">
            <w:pPr>
              <w:spacing w:after="0" w:line="20" w:lineRule="atLeast"/>
              <w:jc w:val="center"/>
              <w:rPr>
                <w:rFonts w:eastAsia="Times New Roman"/>
                <w:sz w:val="24"/>
                <w:szCs w:val="24"/>
              </w:rPr>
            </w:pPr>
            <w:r>
              <w:rPr>
                <w:rFonts w:eastAsia="Times New Roman"/>
                <w:sz w:val="24"/>
                <w:szCs w:val="24"/>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5A09B08" w14:textId="77777777" w:rsidR="00C154CD" w:rsidRDefault="00C154CD" w:rsidP="00C154CD">
            <w:pPr>
              <w:spacing w:after="0" w:line="20" w:lineRule="atLeast"/>
              <w:rPr>
                <w:rFonts w:eastAsia="Times New Roman"/>
                <w:color w:val="000000"/>
              </w:rPr>
            </w:pPr>
            <w:r>
              <w:rPr>
                <w:rFonts w:eastAsia="Times New Roman"/>
                <w:color w:val="000000"/>
              </w:rPr>
              <w:t> </w:t>
            </w:r>
          </w:p>
        </w:tc>
      </w:tr>
      <w:tr w:rsidR="00C154CD" w14:paraId="39078801"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AC018E" w14:textId="77777777" w:rsidR="00C154CD" w:rsidRDefault="00C154CD" w:rsidP="00C154CD">
            <w:pPr>
              <w:spacing w:after="0" w:line="20" w:lineRule="atLeast"/>
              <w:rPr>
                <w:rFonts w:eastAsia="Times New Roman"/>
                <w:color w:val="000000"/>
              </w:rPr>
            </w:pPr>
            <w:r>
              <w:rPr>
                <w:rFonts w:eastAsia="Times New Roman"/>
                <w:color w:val="000000"/>
              </w:rPr>
              <w:t xml:space="preserve">Statewide positive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5C4773B" w14:textId="77777777" w:rsidR="00C154CD" w:rsidRDefault="00C154CD" w:rsidP="00C154CD">
            <w:pPr>
              <w:spacing w:after="0" w:line="20" w:lineRule="atLeast"/>
              <w:jc w:val="center"/>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1EF9B0" w14:textId="77777777" w:rsidR="00C154CD" w:rsidRDefault="00C154CD" w:rsidP="00C154CD">
            <w:pPr>
              <w:spacing w:after="0" w:line="20" w:lineRule="atLeast"/>
              <w:jc w:val="center"/>
              <w:rPr>
                <w:rFonts w:eastAsia="Times New Roman"/>
                <w:sz w:val="24"/>
                <w:szCs w:val="24"/>
              </w:rPr>
            </w:pPr>
            <w:r>
              <w:rPr>
                <w:rFonts w:eastAsia="Times New Roman"/>
                <w:sz w:val="24"/>
                <w:szCs w:val="24"/>
              </w:rPr>
              <w:t>133635</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85D9419" w14:textId="77777777" w:rsidR="00C154CD" w:rsidRDefault="00C154CD" w:rsidP="00C154CD">
            <w:pPr>
              <w:spacing w:after="0" w:line="20" w:lineRule="atLeast"/>
              <w:rPr>
                <w:rFonts w:eastAsia="Times New Roman"/>
                <w:color w:val="000000"/>
              </w:rPr>
            </w:pPr>
            <w:r>
              <w:rPr>
                <w:rFonts w:eastAsia="Times New Roman"/>
                <w:color w:val="000000"/>
              </w:rPr>
              <w:t> </w:t>
            </w:r>
          </w:p>
        </w:tc>
      </w:tr>
      <w:tr w:rsidR="00C154CD" w14:paraId="2D511537" w14:textId="77777777" w:rsidTr="00C154C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F97131" w14:textId="77777777" w:rsidR="00C154CD" w:rsidRDefault="00C154CD" w:rsidP="00C154CD">
            <w:pPr>
              <w:spacing w:after="0" w:line="20" w:lineRule="atLeast"/>
              <w:rPr>
                <w:rFonts w:eastAsia="Times New Roman"/>
                <w:color w:val="000000"/>
              </w:rPr>
            </w:pPr>
            <w:r>
              <w:rPr>
                <w:rFonts w:eastAsia="Times New Roman"/>
                <w:color w:val="000000"/>
              </w:rPr>
              <w:t xml:space="preserve">Statewide deaths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2C78550B" w14:textId="77777777" w:rsidR="00C154CD" w:rsidRDefault="00C154CD" w:rsidP="00C154CD">
            <w:pPr>
              <w:spacing w:after="0" w:line="20" w:lineRule="atLeast"/>
              <w:jc w:val="center"/>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6364BC" w14:textId="77777777" w:rsidR="00C154CD" w:rsidRDefault="00C154CD" w:rsidP="00C154CD">
            <w:pPr>
              <w:spacing w:after="0" w:line="20" w:lineRule="atLeast"/>
              <w:jc w:val="center"/>
              <w:rPr>
                <w:rFonts w:eastAsia="Times New Roman"/>
                <w:sz w:val="24"/>
                <w:szCs w:val="24"/>
              </w:rPr>
            </w:pPr>
            <w:r>
              <w:rPr>
                <w:rFonts w:eastAsia="Times New Roman"/>
                <w:sz w:val="24"/>
                <w:szCs w:val="24"/>
              </w:rPr>
              <w:t>8801</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31C3CB0" w14:textId="77777777" w:rsidR="00C154CD" w:rsidRDefault="00C154CD" w:rsidP="00C154CD">
            <w:pPr>
              <w:spacing w:after="0" w:line="20" w:lineRule="atLeast"/>
              <w:rPr>
                <w:rFonts w:eastAsia="Times New Roman"/>
                <w:color w:val="000000"/>
              </w:rPr>
            </w:pPr>
            <w:r>
              <w:rPr>
                <w:rFonts w:eastAsia="Times New Roman"/>
                <w:color w:val="000000"/>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66426"/>
    <w:rsid w:val="00141ECB"/>
    <w:rsid w:val="00184BED"/>
    <w:rsid w:val="002C2DA0"/>
    <w:rsid w:val="003135ED"/>
    <w:rsid w:val="00331C94"/>
    <w:rsid w:val="003568E4"/>
    <w:rsid w:val="0036042A"/>
    <w:rsid w:val="003B02CC"/>
    <w:rsid w:val="003B61F3"/>
    <w:rsid w:val="003F5EFB"/>
    <w:rsid w:val="0041550A"/>
    <w:rsid w:val="00503797"/>
    <w:rsid w:val="00523439"/>
    <w:rsid w:val="005361A9"/>
    <w:rsid w:val="00552AFD"/>
    <w:rsid w:val="005561A1"/>
    <w:rsid w:val="005B3C67"/>
    <w:rsid w:val="005F102A"/>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154CD"/>
    <w:rsid w:val="00C212CE"/>
    <w:rsid w:val="00D556EB"/>
    <w:rsid w:val="00DC6057"/>
    <w:rsid w:val="00E04EDB"/>
    <w:rsid w:val="00E40035"/>
    <w:rsid w:val="00E97B2D"/>
    <w:rsid w:val="00EC773C"/>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2020-05-08T13:15:00Z</dcterms:created>
  <dcterms:modified xsi:type="dcterms:W3CDTF">2020-05-08T13:15:00Z</dcterms:modified>
</cp:coreProperties>
</file>