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5FE8" w14:textId="63AAFC09" w:rsidR="003C7755" w:rsidRPr="00561427" w:rsidRDefault="008E458F" w:rsidP="00561427">
      <w:pPr>
        <w:pBdr>
          <w:top w:val="single" w:sz="18" w:space="1" w:color="auto"/>
        </w:pBdr>
        <w:jc w:val="center"/>
        <w:outlineLvl w:val="0"/>
        <w:rPr>
          <w:rFonts w:ascii="Times New Roman" w:hAnsi="Times New Roman" w:cs="Times New Roman"/>
          <w:noProof/>
          <w:sz w:val="32"/>
        </w:rPr>
      </w:pPr>
      <w:r>
        <w:rPr>
          <w:noProof/>
        </w:rPr>
        <w:drawing>
          <wp:inline distT="0" distB="0" distL="0" distR="0" wp14:anchorId="3F6F5022" wp14:editId="69B0234A">
            <wp:extent cx="14478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47800" cy="1447800"/>
                    </a:xfrm>
                    <a:prstGeom prst="rect">
                      <a:avLst/>
                    </a:prstGeom>
                    <a:noFill/>
                  </pic:spPr>
                </pic:pic>
              </a:graphicData>
            </a:graphic>
          </wp:inline>
        </w:drawing>
      </w:r>
    </w:p>
    <w:p w14:paraId="18EA3CC6" w14:textId="77777777" w:rsidR="00C75CED" w:rsidRPr="001248B8" w:rsidRDefault="00C75CED" w:rsidP="003C7755">
      <w:pPr>
        <w:pBdr>
          <w:bottom w:val="single" w:sz="18" w:space="1" w:color="auto"/>
        </w:pBdr>
        <w:rPr>
          <w:sz w:val="12"/>
        </w:rPr>
      </w:pPr>
    </w:p>
    <w:p w14:paraId="6D2A2436" w14:textId="77777777" w:rsidR="00AA490B" w:rsidRPr="001248B8" w:rsidRDefault="00AA490B" w:rsidP="00CB65BF">
      <w:pPr>
        <w:jc w:val="both"/>
      </w:pPr>
    </w:p>
    <w:p w14:paraId="04BC12DF" w14:textId="544627E3" w:rsidR="002874CE" w:rsidRPr="001248B8" w:rsidRDefault="00E60EAC" w:rsidP="002874CE">
      <w:pPr>
        <w:jc w:val="center"/>
        <w:outlineLvl w:val="0"/>
        <w:rPr>
          <w:sz w:val="40"/>
        </w:rPr>
      </w:pPr>
      <w:bookmarkStart w:id="0" w:name="_Hlk111461080"/>
      <w:r>
        <w:rPr>
          <w:sz w:val="32"/>
        </w:rPr>
        <w:t>Sustainable Energy Alliance Energy Procurement Cooperative</w:t>
      </w:r>
      <w:bookmarkEnd w:id="0"/>
      <w:r>
        <w:rPr>
          <w:sz w:val="32"/>
        </w:rPr>
        <w:t xml:space="preserve"> </w:t>
      </w:r>
      <w:r w:rsidR="002874CE" w:rsidRPr="001248B8">
        <w:rPr>
          <w:sz w:val="40"/>
        </w:rPr>
        <w:t>(“</w:t>
      </w:r>
      <w:r w:rsidR="00DD1324">
        <w:rPr>
          <w:sz w:val="40"/>
        </w:rPr>
        <w:t>SEA</w:t>
      </w:r>
      <w:r>
        <w:rPr>
          <w:sz w:val="40"/>
        </w:rPr>
        <w:t>E</w:t>
      </w:r>
      <w:r w:rsidR="00DD1324">
        <w:rPr>
          <w:sz w:val="40"/>
        </w:rPr>
        <w:t>PC</w:t>
      </w:r>
      <w:r w:rsidR="002874CE" w:rsidRPr="001248B8">
        <w:rPr>
          <w:sz w:val="40"/>
        </w:rPr>
        <w:t>”)</w:t>
      </w:r>
      <w:r w:rsidR="002874CE">
        <w:rPr>
          <w:sz w:val="40"/>
        </w:rPr>
        <w:t xml:space="preserve"> </w:t>
      </w:r>
      <w:r w:rsidR="002874CE" w:rsidRPr="002874CE">
        <w:rPr>
          <w:sz w:val="32"/>
          <w:szCs w:val="32"/>
        </w:rPr>
        <w:t>Update</w:t>
      </w:r>
    </w:p>
    <w:p w14:paraId="3E2CB42D" w14:textId="77777777" w:rsidR="008F3D53" w:rsidRDefault="008F3D53" w:rsidP="002874CE">
      <w:pPr>
        <w:jc w:val="center"/>
        <w:rPr>
          <w:sz w:val="22"/>
          <w:szCs w:val="22"/>
        </w:rPr>
      </w:pPr>
    </w:p>
    <w:p w14:paraId="540900E8" w14:textId="77777777" w:rsidR="002874CE" w:rsidRDefault="002874CE" w:rsidP="009D2C65">
      <w:pPr>
        <w:rPr>
          <w:sz w:val="22"/>
          <w:szCs w:val="22"/>
        </w:rPr>
      </w:pPr>
    </w:p>
    <w:p w14:paraId="7874A6F5" w14:textId="54096154" w:rsidR="008F3D53" w:rsidRDefault="00DD1324" w:rsidP="008F3D53">
      <w:pPr>
        <w:jc w:val="center"/>
        <w:rPr>
          <w:b/>
          <w:sz w:val="28"/>
          <w:szCs w:val="28"/>
        </w:rPr>
      </w:pPr>
      <w:r>
        <w:rPr>
          <w:b/>
          <w:sz w:val="28"/>
          <w:szCs w:val="28"/>
        </w:rPr>
        <w:t xml:space="preserve">August </w:t>
      </w:r>
      <w:r w:rsidR="00CE19E9">
        <w:rPr>
          <w:b/>
          <w:sz w:val="28"/>
          <w:szCs w:val="28"/>
        </w:rPr>
        <w:t>2022</w:t>
      </w:r>
    </w:p>
    <w:p w14:paraId="2E360DAD" w14:textId="77777777" w:rsidR="008F3D53" w:rsidRPr="0055723C" w:rsidRDefault="008F3D53" w:rsidP="008F3D53">
      <w:pPr>
        <w:jc w:val="center"/>
        <w:rPr>
          <w:b/>
          <w:sz w:val="28"/>
          <w:szCs w:val="28"/>
        </w:rPr>
      </w:pPr>
      <w:r>
        <w:rPr>
          <w:b/>
          <w:sz w:val="28"/>
          <w:szCs w:val="28"/>
        </w:rPr>
        <w:t>U</w:t>
      </w:r>
      <w:r w:rsidR="009D2C65">
        <w:rPr>
          <w:b/>
          <w:sz w:val="28"/>
          <w:szCs w:val="28"/>
        </w:rPr>
        <w:t>PDATE</w:t>
      </w:r>
    </w:p>
    <w:p w14:paraId="6AB7654F" w14:textId="77777777" w:rsidR="008F3D53" w:rsidRDefault="008F3D53" w:rsidP="008F3D53">
      <w:pPr>
        <w:ind w:firstLine="450"/>
        <w:rPr>
          <w:i/>
        </w:rPr>
      </w:pPr>
    </w:p>
    <w:p w14:paraId="5AFD0518" w14:textId="72B621B4" w:rsidR="00E60EAC" w:rsidRDefault="00E60EAC" w:rsidP="00E60EAC">
      <w:pPr>
        <w:jc w:val="both"/>
        <w:rPr>
          <w:b/>
        </w:rPr>
      </w:pPr>
      <w:r>
        <w:rPr>
          <w:b/>
        </w:rPr>
        <w:t>As you may be aware, t</w:t>
      </w:r>
      <w:r w:rsidR="009D2C65">
        <w:rPr>
          <w:b/>
        </w:rPr>
        <w:t>he Township</w:t>
      </w:r>
      <w:r>
        <w:rPr>
          <w:b/>
        </w:rPr>
        <w:t xml:space="preserve"> of South Orange Villag</w:t>
      </w:r>
      <w:r w:rsidR="00096B67">
        <w:rPr>
          <w:b/>
        </w:rPr>
        <w:t>e</w:t>
      </w:r>
      <w:r>
        <w:rPr>
          <w:b/>
        </w:rPr>
        <w:t xml:space="preserve"> (“Township”) is a member of the Sustainable Essex Alliance Energy Procurement Cooperative (“SEAEPC”) in which the following seven member municipalities collectively procure energy on behalf of their residents:  Maplewood, Glen Ridge, Montclair, Verona, Livingston, South </w:t>
      </w:r>
      <w:proofErr w:type="gramStart"/>
      <w:r>
        <w:rPr>
          <w:b/>
        </w:rPr>
        <w:t>Orange</w:t>
      </w:r>
      <w:proofErr w:type="gramEnd"/>
      <w:r>
        <w:rPr>
          <w:b/>
        </w:rPr>
        <w:t xml:space="preserve"> and Glen Rock.  The SEAEPC launched its </w:t>
      </w:r>
      <w:proofErr w:type="gramStart"/>
      <w:r>
        <w:rPr>
          <w:b/>
        </w:rPr>
        <w:t>second round</w:t>
      </w:r>
      <w:proofErr w:type="gramEnd"/>
      <w:r>
        <w:rPr>
          <w:b/>
        </w:rPr>
        <w:t xml:space="preserve"> program in 2020, under which it signed a contract with Energy Harbor, LLC (“Energy Harbor”).  This contract has been providing participating </w:t>
      </w:r>
      <w:r w:rsidR="00AE0221">
        <w:rPr>
          <w:b/>
        </w:rPr>
        <w:t>Township</w:t>
      </w:r>
      <w:r>
        <w:rPr>
          <w:b/>
        </w:rPr>
        <w:t xml:space="preserve"> residents with power supply with enhanced renewable energy content, while also providing participating residents with some savings on their electric bills, since April 2021.  The current contract will be ending in September 2022 and, provided below is an update on the status of the program and next steps.</w:t>
      </w:r>
    </w:p>
    <w:p w14:paraId="18B68223" w14:textId="37B95611" w:rsidR="009D2C65" w:rsidRDefault="009D2C65" w:rsidP="009D2C65">
      <w:pPr>
        <w:jc w:val="both"/>
        <w:rPr>
          <w:b/>
        </w:rPr>
      </w:pPr>
    </w:p>
    <w:p w14:paraId="3CA5F2AA" w14:textId="5037FC96" w:rsidR="009D2C65" w:rsidRDefault="00E60EAC" w:rsidP="009D2C65">
      <w:pPr>
        <w:jc w:val="both"/>
      </w:pPr>
      <w:r>
        <w:t xml:space="preserve">In 2020, the SEAEPC launched the second round of the Sustainable Essex Alliance Program (“SEA Round 2”), for the purpose of creating purchasing leverage and providing an opportunity for participating residents to save some money on their electric bills while improving the </w:t>
      </w:r>
      <w:r w:rsidR="00AE0221">
        <w:t>Township</w:t>
      </w:r>
      <w:r>
        <w:t>’s carbon footprint. Competing proposals were received from multiple State-licensed electric power suppliers, through a competitive procurement process conducted by the SEAEPC</w:t>
      </w:r>
      <w:r w:rsidR="00A85091">
        <w:t xml:space="preserve"> in fall 2020, </w:t>
      </w:r>
      <w:r w:rsidR="009D2C65">
        <w:t>and a contract was awarded in</w:t>
      </w:r>
      <w:r w:rsidR="00D03154">
        <w:t xml:space="preserve"> November</w:t>
      </w:r>
      <w:r w:rsidR="00CE19E9">
        <w:t xml:space="preserve"> </w:t>
      </w:r>
      <w:r w:rsidR="00D03154">
        <w:t xml:space="preserve">2020 </w:t>
      </w:r>
      <w:r w:rsidR="009D2C65">
        <w:t xml:space="preserve">to the low bidder, </w:t>
      </w:r>
      <w:r w:rsidR="00CE19E9">
        <w:t>Energy Harbor, LLC</w:t>
      </w:r>
      <w:r w:rsidR="009D2C65">
        <w:t xml:space="preserve"> (“</w:t>
      </w:r>
      <w:r w:rsidR="00CE19E9">
        <w:t>Energy Harbor</w:t>
      </w:r>
      <w:r w:rsidR="009D2C65">
        <w:t xml:space="preserve">”). </w:t>
      </w:r>
      <w:r w:rsidR="001F7626">
        <w:t xml:space="preserve"> </w:t>
      </w:r>
      <w:r w:rsidR="00CE19E9">
        <w:t>Energy Harbor</w:t>
      </w:r>
      <w:r w:rsidR="009D2C65">
        <w:t xml:space="preserve"> has been providing electric supply service</w:t>
      </w:r>
      <w:r w:rsidR="001F7626">
        <w:t xml:space="preserve"> under this contract</w:t>
      </w:r>
      <w:r w:rsidR="009D2C65">
        <w:t xml:space="preserve"> to participating </w:t>
      </w:r>
      <w:r w:rsidR="00225F11">
        <w:t>South Orange Village</w:t>
      </w:r>
      <w:r w:rsidR="00294C45">
        <w:t xml:space="preserve"> </w:t>
      </w:r>
      <w:r w:rsidR="009D2C65">
        <w:t xml:space="preserve">Township residents since </w:t>
      </w:r>
      <w:r w:rsidR="002A5EA7">
        <w:t>April</w:t>
      </w:r>
      <w:r w:rsidR="00294C45">
        <w:t xml:space="preserve"> 2021 </w:t>
      </w:r>
      <w:r w:rsidR="009D2C65">
        <w:t xml:space="preserve">at </w:t>
      </w:r>
      <w:r w:rsidR="00A85091">
        <w:t xml:space="preserve">small savings vs. </w:t>
      </w:r>
      <w:r w:rsidR="009D2C65">
        <w:t>the price being charged by Public Service Electric and Gas (“PSE&amp;G”) for the power supply portion of your electric bill</w:t>
      </w:r>
      <w:r w:rsidR="00D45A16">
        <w:t xml:space="preserve">.  </w:t>
      </w:r>
      <w:r w:rsidR="003E7BAD">
        <w:t xml:space="preserve">The contract with Energy Harbor also requires that </w:t>
      </w:r>
      <w:r w:rsidR="007C46E7">
        <w:t>power supply provided to residents contain enhanced renewable energy content</w:t>
      </w:r>
      <w:r w:rsidR="008A2049">
        <w:t>.  S</w:t>
      </w:r>
      <w:r w:rsidR="007C46E7">
        <w:t xml:space="preserve">pecifically, the power being supplied to participating </w:t>
      </w:r>
      <w:r w:rsidR="00225F11">
        <w:t>South Orange Village</w:t>
      </w:r>
      <w:r w:rsidR="007C46E7">
        <w:t xml:space="preserve"> residents contains 4</w:t>
      </w:r>
      <w:r w:rsidR="00D16AF7">
        <w:t>0</w:t>
      </w:r>
      <w:r w:rsidR="007C46E7">
        <w:t xml:space="preserve">% renewable energy, which is nearly double the current State-mandated minimum renewable energy content.  </w:t>
      </w:r>
      <w:r w:rsidR="00D45A16">
        <w:t>A</w:t>
      </w:r>
      <w:r w:rsidR="00460432">
        <w:t xml:space="preserve">s a result, </w:t>
      </w:r>
      <w:r w:rsidR="00460432">
        <w:rPr>
          <w:bCs/>
        </w:rPr>
        <w:t>p</w:t>
      </w:r>
      <w:r w:rsidR="00307E59" w:rsidRPr="00A1505A">
        <w:rPr>
          <w:bCs/>
        </w:rPr>
        <w:t xml:space="preserve">articipating </w:t>
      </w:r>
      <w:r w:rsidR="00307E59" w:rsidRPr="00A1505A">
        <w:rPr>
          <w:bCs/>
        </w:rPr>
        <w:lastRenderedPageBreak/>
        <w:t>Township residents</w:t>
      </w:r>
      <w:r w:rsidR="0087778F">
        <w:rPr>
          <w:bCs/>
        </w:rPr>
        <w:t xml:space="preserve"> have realized </w:t>
      </w:r>
      <w:r w:rsidR="00A85091">
        <w:rPr>
          <w:bCs/>
        </w:rPr>
        <w:t>some</w:t>
      </w:r>
      <w:r w:rsidR="00C93B09">
        <w:rPr>
          <w:bCs/>
        </w:rPr>
        <w:t xml:space="preserve"> </w:t>
      </w:r>
      <w:r w:rsidR="0087778F">
        <w:rPr>
          <w:bCs/>
        </w:rPr>
        <w:t xml:space="preserve">savings vs. </w:t>
      </w:r>
      <w:r w:rsidR="00D45A16">
        <w:rPr>
          <w:bCs/>
        </w:rPr>
        <w:t xml:space="preserve">obtaining supply from PSE&amp;G’s </w:t>
      </w:r>
      <w:r w:rsidR="0087778F">
        <w:rPr>
          <w:bCs/>
        </w:rPr>
        <w:t>Basic Generation Service prices</w:t>
      </w:r>
      <w:r w:rsidR="007C46E7">
        <w:rPr>
          <w:bCs/>
        </w:rPr>
        <w:t xml:space="preserve"> while reducing the Township’s carbon footprint</w:t>
      </w:r>
      <w:r w:rsidR="00307E59" w:rsidRPr="00A1505A">
        <w:rPr>
          <w:bCs/>
        </w:rPr>
        <w:t>.</w:t>
      </w:r>
      <w:r w:rsidR="00307E59">
        <w:rPr>
          <w:b/>
          <w:bCs/>
        </w:rPr>
        <w:t> </w:t>
      </w:r>
    </w:p>
    <w:p w14:paraId="455B3B80" w14:textId="77777777" w:rsidR="009D2C65" w:rsidRDefault="009D2C65" w:rsidP="009D2C65">
      <w:pPr>
        <w:jc w:val="both"/>
      </w:pPr>
    </w:p>
    <w:p w14:paraId="1485E741" w14:textId="1E63CB7B" w:rsidR="00307E59" w:rsidRDefault="009D2C65" w:rsidP="009D2C65">
      <w:pPr>
        <w:jc w:val="both"/>
      </w:pPr>
      <w:r>
        <w:t xml:space="preserve">The contract with </w:t>
      </w:r>
      <w:r w:rsidR="00CE19E9">
        <w:t>Energy Harbor, LLC</w:t>
      </w:r>
      <w:r>
        <w:t xml:space="preserve"> has a term of </w:t>
      </w:r>
      <w:r w:rsidR="00C24B48">
        <w:t>17</w:t>
      </w:r>
      <w:r>
        <w:t xml:space="preserve">-months, which is set to expire in </w:t>
      </w:r>
      <w:r w:rsidR="00294C45">
        <w:t xml:space="preserve">September </w:t>
      </w:r>
      <w:r w:rsidR="00CE19E9">
        <w:t>2022</w:t>
      </w:r>
      <w:r>
        <w:t xml:space="preserve">.  </w:t>
      </w:r>
      <w:r w:rsidR="007B0BD2" w:rsidRPr="00307E59">
        <w:t>As you are most likely well aware, t</w:t>
      </w:r>
      <w:r w:rsidRPr="00307E59">
        <w:t>here have been significant changes in energy market</w:t>
      </w:r>
      <w:r w:rsidR="00460432">
        <w:t xml:space="preserve"> price</w:t>
      </w:r>
      <w:r w:rsidRPr="00307E59">
        <w:t>s since the last time the Township went out to bid in</w:t>
      </w:r>
      <w:r w:rsidR="00CE19E9" w:rsidRPr="00307E59">
        <w:t xml:space="preserve"> </w:t>
      </w:r>
      <w:proofErr w:type="gramStart"/>
      <w:r w:rsidR="00294C45">
        <w:t>November</w:t>
      </w:r>
      <w:r w:rsidR="0099253B" w:rsidRPr="00307E59">
        <w:t>,</w:t>
      </w:r>
      <w:proofErr w:type="gramEnd"/>
      <w:r w:rsidRPr="00307E59">
        <w:t xml:space="preserve"> </w:t>
      </w:r>
      <w:r w:rsidR="00CE19E9" w:rsidRPr="00307E59">
        <w:t>2020</w:t>
      </w:r>
      <w:r w:rsidR="007B0BD2" w:rsidRPr="00307E59">
        <w:t xml:space="preserve">.  Energy prices have increased </w:t>
      </w:r>
      <w:r w:rsidR="00B958DA">
        <w:t>considerably</w:t>
      </w:r>
      <w:r w:rsidR="007B0BD2" w:rsidRPr="00307E59">
        <w:t xml:space="preserve">, </w:t>
      </w:r>
      <w:r w:rsidRPr="00307E59">
        <w:t xml:space="preserve">which </w:t>
      </w:r>
      <w:r w:rsidR="0099253B" w:rsidRPr="00307E59">
        <w:t xml:space="preserve">has made it </w:t>
      </w:r>
      <w:r w:rsidR="00931021" w:rsidRPr="00307E59">
        <w:t>much</w:t>
      </w:r>
      <w:r w:rsidR="0099253B" w:rsidRPr="00307E59">
        <w:t xml:space="preserve"> mo</w:t>
      </w:r>
      <w:r w:rsidRPr="00307E59">
        <w:t>re difficult to obtain favorable bid pricing as compared to the PSE&amp;G tariff</w:t>
      </w:r>
      <w:r w:rsidR="00A85091">
        <w:t>,</w:t>
      </w:r>
      <w:r w:rsidRPr="00307E59">
        <w:t xml:space="preserve"> than it was two years ago when the Township </w:t>
      </w:r>
      <w:r w:rsidR="00460432">
        <w:t>signed</w:t>
      </w:r>
      <w:r w:rsidRPr="00307E59">
        <w:t xml:space="preserve"> its current contract with </w:t>
      </w:r>
      <w:r w:rsidR="00CE19E9" w:rsidRPr="00307E59">
        <w:t>Energy Harbor</w:t>
      </w:r>
      <w:r w:rsidRPr="00307E59">
        <w:t xml:space="preserve">.  </w:t>
      </w:r>
    </w:p>
    <w:p w14:paraId="1CCC8070" w14:textId="77777777" w:rsidR="00307E59" w:rsidRDefault="00307E59" w:rsidP="009D2C65">
      <w:pPr>
        <w:jc w:val="both"/>
      </w:pPr>
    </w:p>
    <w:p w14:paraId="6DE1526C" w14:textId="77777777" w:rsidR="00E60EAC" w:rsidRPr="00307E59" w:rsidRDefault="00E60EAC" w:rsidP="00E60EAC">
      <w:pPr>
        <w:jc w:val="both"/>
      </w:pPr>
      <w:r w:rsidRPr="00307E59">
        <w:t xml:space="preserve">The </w:t>
      </w:r>
      <w:r>
        <w:t>SEAEPC</w:t>
      </w:r>
      <w:r w:rsidRPr="00307E59">
        <w:t xml:space="preserve"> conducted a competitive bid process in Ma</w:t>
      </w:r>
      <w:r>
        <w:t>y</w:t>
      </w:r>
      <w:r w:rsidRPr="00307E59">
        <w:t xml:space="preserve"> 2022 for a new contract under Round </w:t>
      </w:r>
      <w:r>
        <w:t>III</w:t>
      </w:r>
      <w:r w:rsidRPr="00307E59">
        <w:t xml:space="preserve"> of the </w:t>
      </w:r>
      <w:r>
        <w:t>SEA</w:t>
      </w:r>
      <w:r w:rsidRPr="00307E59">
        <w:t xml:space="preserve"> </w:t>
      </w:r>
      <w:proofErr w:type="gramStart"/>
      <w:r w:rsidRPr="00307E59">
        <w:t>program</w:t>
      </w:r>
      <w:proofErr w:type="gramEnd"/>
      <w:r w:rsidRPr="00307E59">
        <w:t>.  However, the bid prices</w:t>
      </w:r>
      <w:r>
        <w:t xml:space="preserve"> came in much higher than PSE&amp;G’s tariff prices and therefore</w:t>
      </w:r>
      <w:r w:rsidRPr="00307E59">
        <w:t xml:space="preserve"> did not produce </w:t>
      </w:r>
      <w:r>
        <w:t xml:space="preserve">any </w:t>
      </w:r>
      <w:r w:rsidRPr="00307E59">
        <w:t xml:space="preserve">savings to justify the award of a new contract.  The </w:t>
      </w:r>
      <w:r>
        <w:t>SEAEPC</w:t>
      </w:r>
      <w:r w:rsidRPr="00307E59">
        <w:t xml:space="preserve"> concluded that it was in residents’ best interests in the short-term, to </w:t>
      </w:r>
      <w:r>
        <w:t xml:space="preserve">be </w:t>
      </w:r>
      <w:r w:rsidRPr="00307E59">
        <w:t>return</w:t>
      </w:r>
      <w:r>
        <w:t>ed</w:t>
      </w:r>
      <w:r w:rsidRPr="00307E59">
        <w:t xml:space="preserve"> to PSE&amp;G Basic Generation Service for power supply at the end of the current contract</w:t>
      </w:r>
      <w:r>
        <w:t xml:space="preserve"> with Energy Harbor</w:t>
      </w:r>
      <w:r w:rsidRPr="00307E59">
        <w:t xml:space="preserve">.  The </w:t>
      </w:r>
      <w:r>
        <w:t>SEAEPC</w:t>
      </w:r>
      <w:r w:rsidRPr="00307E59">
        <w:t xml:space="preserve"> commit</w:t>
      </w:r>
      <w:r>
        <w:t>s</w:t>
      </w:r>
      <w:r w:rsidRPr="00307E59">
        <w:t xml:space="preserve"> to resoliciting bids </w:t>
      </w:r>
      <w:proofErr w:type="gramStart"/>
      <w:r w:rsidRPr="00307E59">
        <w:t>at a later date</w:t>
      </w:r>
      <w:proofErr w:type="gramEnd"/>
      <w:r w:rsidRPr="00307E59">
        <w:t xml:space="preserve"> when market conditions improve.  </w:t>
      </w:r>
    </w:p>
    <w:p w14:paraId="13A29947" w14:textId="77777777" w:rsidR="009D2C65" w:rsidRPr="00307E59" w:rsidRDefault="009D2C65" w:rsidP="009D2C65">
      <w:pPr>
        <w:ind w:right="720" w:firstLine="720"/>
      </w:pPr>
    </w:p>
    <w:p w14:paraId="5FDF0644" w14:textId="2B20289D" w:rsidR="009D2C65" w:rsidRDefault="009D2C65" w:rsidP="009D2C65">
      <w:pPr>
        <w:jc w:val="both"/>
      </w:pPr>
      <w:r w:rsidRPr="00307E59">
        <w:t xml:space="preserve">The Township assures residents that the transition from </w:t>
      </w:r>
      <w:r w:rsidR="00CE19E9" w:rsidRPr="00307E59">
        <w:t>Energy Harbor, LLC</w:t>
      </w:r>
      <w:r w:rsidRPr="00307E59">
        <w:t xml:space="preserve"> back to the </w:t>
      </w:r>
      <w:r w:rsidR="007C5F53" w:rsidRPr="00307E59">
        <w:t xml:space="preserve">PSE&amp;G </w:t>
      </w:r>
      <w:r w:rsidRPr="00307E59">
        <w:t xml:space="preserve">tariff in </w:t>
      </w:r>
      <w:r w:rsidR="00294C45">
        <w:t xml:space="preserve">September </w:t>
      </w:r>
      <w:r w:rsidR="00132A6B" w:rsidRPr="00307E59">
        <w:t>2022</w:t>
      </w:r>
      <w:r w:rsidRPr="00307E59">
        <w:t xml:space="preserve"> will be seamless</w:t>
      </w:r>
      <w:r w:rsidR="00307E59">
        <w:t xml:space="preserve"> and there is nothing that residents need to do to effectuate this change</w:t>
      </w:r>
      <w:r w:rsidRPr="00307E59">
        <w:t xml:space="preserve">. This month, </w:t>
      </w:r>
      <w:r w:rsidR="007C5F53" w:rsidRPr="00307E59">
        <w:t>PSE&amp;G</w:t>
      </w:r>
      <w:r w:rsidRPr="00307E59">
        <w:t xml:space="preserve"> will send notices to residents informing them that service with </w:t>
      </w:r>
      <w:r w:rsidR="00CE19E9" w:rsidRPr="00307E59">
        <w:t>Energy Harbor, LLC</w:t>
      </w:r>
      <w:r w:rsidRPr="00307E59">
        <w:t xml:space="preserve"> will be ending effective on your </w:t>
      </w:r>
      <w:r w:rsidR="000714BD">
        <w:t xml:space="preserve">September </w:t>
      </w:r>
      <w:r w:rsidR="00132A6B" w:rsidRPr="00307E59">
        <w:t xml:space="preserve">2022 </w:t>
      </w:r>
      <w:r w:rsidRPr="00307E59">
        <w:t xml:space="preserve">meter read date. Effective on your </w:t>
      </w:r>
      <w:r w:rsidR="000714BD">
        <w:t>September</w:t>
      </w:r>
      <w:r w:rsidR="000714BD" w:rsidRPr="00307E59">
        <w:t xml:space="preserve"> </w:t>
      </w:r>
      <w:r w:rsidRPr="00307E59">
        <w:t xml:space="preserve">meter read, </w:t>
      </w:r>
      <w:r w:rsidR="007C5F53" w:rsidRPr="00307E59">
        <w:t>PSE&amp;G</w:t>
      </w:r>
      <w:r w:rsidRPr="00307E59">
        <w:t xml:space="preserve"> will resume as you</w:t>
      </w:r>
      <w:r w:rsidR="002874CE" w:rsidRPr="00307E59">
        <w:t>r</w:t>
      </w:r>
      <w:r w:rsidRPr="00307E59">
        <w:t xml:space="preserve"> power supplier</w:t>
      </w:r>
      <w:r w:rsidR="00132A6B" w:rsidRPr="00307E59">
        <w:t xml:space="preserve">. </w:t>
      </w:r>
      <w:r w:rsidR="001F7626" w:rsidRPr="00307E59">
        <w:t xml:space="preserve"> </w:t>
      </w:r>
      <w:r w:rsidRPr="00307E59">
        <w:t xml:space="preserve">Starting with your </w:t>
      </w:r>
      <w:r w:rsidR="000714BD">
        <w:t>October</w:t>
      </w:r>
      <w:r w:rsidR="000714BD" w:rsidRPr="00307E59">
        <w:t xml:space="preserve"> </w:t>
      </w:r>
      <w:r w:rsidR="00DD6EA4">
        <w:t xml:space="preserve">PSE&amp;G </w:t>
      </w:r>
      <w:r w:rsidRPr="00307E59">
        <w:t xml:space="preserve">bill, you will notice that </w:t>
      </w:r>
      <w:r w:rsidR="00CE19E9" w:rsidRPr="00307E59">
        <w:t>Energy Harbor</w:t>
      </w:r>
      <w:r w:rsidRPr="00307E59">
        <w:t xml:space="preserve"> power supply charges will be replaced with a line item for </w:t>
      </w:r>
      <w:r w:rsidR="007C5F53" w:rsidRPr="00307E59">
        <w:t xml:space="preserve">PSE&amp;G </w:t>
      </w:r>
      <w:r w:rsidRPr="00307E59">
        <w:t xml:space="preserve">‘Basic Generation Service’ power supply.  </w:t>
      </w:r>
      <w:r w:rsidR="00A1505A" w:rsidRPr="00307E59">
        <w:t>For those of</w:t>
      </w:r>
      <w:r w:rsidRPr="00307E59">
        <w:t xml:space="preserve"> you </w:t>
      </w:r>
      <w:r w:rsidR="00A1505A" w:rsidRPr="00307E59">
        <w:t xml:space="preserve">who </w:t>
      </w:r>
      <w:r w:rsidRPr="00307E59">
        <w:t xml:space="preserve">have had a budget billing (equal payment) plan with </w:t>
      </w:r>
      <w:r w:rsidR="00CE19E9" w:rsidRPr="00307E59">
        <w:t>Energy Harbor</w:t>
      </w:r>
      <w:r w:rsidRPr="00307E59">
        <w:t xml:space="preserve">, your </w:t>
      </w:r>
      <w:r w:rsidR="000714BD">
        <w:t>October</w:t>
      </w:r>
      <w:r w:rsidR="000714BD" w:rsidRPr="00307E59">
        <w:t xml:space="preserve"> </w:t>
      </w:r>
      <w:r w:rsidR="00132A6B" w:rsidRPr="00307E59">
        <w:t xml:space="preserve">2022 </w:t>
      </w:r>
      <w:r w:rsidR="007C5F53" w:rsidRPr="00307E59">
        <w:t xml:space="preserve">PSE&amp;G bill </w:t>
      </w:r>
      <w:r w:rsidRPr="00307E59">
        <w:t xml:space="preserve">will include a final true-up of your budget payments </w:t>
      </w:r>
      <w:r w:rsidR="001F7626" w:rsidRPr="00307E59">
        <w:t xml:space="preserve">with Energy Harbor.  This true-up will be </w:t>
      </w:r>
      <w:r w:rsidRPr="00307E59">
        <w:t xml:space="preserve">a credit if your total budget payments have been greater than the </w:t>
      </w:r>
      <w:r w:rsidR="00CB548D" w:rsidRPr="00307E59">
        <w:t xml:space="preserve">charges for </w:t>
      </w:r>
      <w:r w:rsidRPr="00307E59">
        <w:t xml:space="preserve">actual electricity consumed during the past </w:t>
      </w:r>
      <w:r w:rsidR="00C24B48">
        <w:t>17</w:t>
      </w:r>
      <w:r w:rsidR="000714BD" w:rsidRPr="00307E59">
        <w:t xml:space="preserve"> </w:t>
      </w:r>
      <w:r w:rsidRPr="00307E59">
        <w:t>months</w:t>
      </w:r>
      <w:r w:rsidR="00CB548D" w:rsidRPr="00307E59">
        <w:t xml:space="preserve">.  Alternatively, this true-up will be </w:t>
      </w:r>
      <w:r w:rsidRPr="00307E59">
        <w:t xml:space="preserve">a charge if your budget payments have </w:t>
      </w:r>
      <w:r w:rsidR="00DD6EA4">
        <w:t xml:space="preserve">totaled to </w:t>
      </w:r>
      <w:r w:rsidRPr="00307E59">
        <w:t xml:space="preserve">less than actual </w:t>
      </w:r>
      <w:r w:rsidR="00CB548D" w:rsidRPr="00307E59">
        <w:t>charges for</w:t>
      </w:r>
      <w:r w:rsidRPr="00307E59">
        <w:t xml:space="preserve"> electricity consumed during the past </w:t>
      </w:r>
      <w:r w:rsidR="00C24B48">
        <w:t>17</w:t>
      </w:r>
      <w:r w:rsidRPr="00307E59">
        <w:t xml:space="preserve"> months.</w:t>
      </w:r>
      <w:r>
        <w:t xml:space="preserve"> </w:t>
      </w:r>
      <w:r w:rsidR="007C46E7">
        <w:t xml:space="preserve"> Either way, budget billing customers who have participated in the </w:t>
      </w:r>
      <w:r w:rsidR="00DD1324">
        <w:t>SEA</w:t>
      </w:r>
      <w:r w:rsidR="007C46E7">
        <w:t xml:space="preserve"> program with Energy Harbor</w:t>
      </w:r>
      <w:r w:rsidR="004F72B5">
        <w:t xml:space="preserve"> will end up paying </w:t>
      </w:r>
      <w:r w:rsidR="00C93B09">
        <w:t xml:space="preserve">for </w:t>
      </w:r>
      <w:r w:rsidR="004F72B5">
        <w:t>exactly what they used over the contract term, no more and no less.</w:t>
      </w:r>
    </w:p>
    <w:p w14:paraId="0A0057DE" w14:textId="77777777" w:rsidR="009D2C65" w:rsidRDefault="009D2C65" w:rsidP="009D2C65">
      <w:pPr>
        <w:ind w:left="720"/>
        <w:jc w:val="both"/>
      </w:pPr>
    </w:p>
    <w:p w14:paraId="4A37881C" w14:textId="2A98DA83" w:rsidR="009D2C65" w:rsidRDefault="00E60EAC" w:rsidP="009D2C65">
      <w:pPr>
        <w:jc w:val="both"/>
      </w:pPr>
      <w:r>
        <w:t>The SEAEPC will be monitoring market conditions</w:t>
      </w:r>
      <w:r w:rsidRPr="00C40115">
        <w:t xml:space="preserve"> </w:t>
      </w:r>
      <w:r>
        <w:t>for improved opportunities to award a contract, in consultation with its energy consultant, Gabel Associates, Inc., and expects to go back out to bid within the next 12 months.   If the SEAEPC awards a new contract for a third round of the SEA program, the new contract would most likely start in early-to-mid 2023.</w:t>
      </w:r>
      <w:r w:rsidR="009D2C65">
        <w:t xml:space="preserve"> In such event, eligible residents (all residents except those that have their own solar generating system or their own third</w:t>
      </w:r>
      <w:r w:rsidR="00BB788B">
        <w:t>-</w:t>
      </w:r>
      <w:r w:rsidR="009D2C65">
        <w:t>party supply contract, or those residents who have requested to be placed on the program’s ‘Do Not Disturb’ list), will be sent a mailing informing them of the details of the new contract</w:t>
      </w:r>
      <w:r w:rsidR="00C40115">
        <w:t xml:space="preserve">. Thereafter, </w:t>
      </w:r>
      <w:r w:rsidR="009D2C65">
        <w:t xml:space="preserve">residents would have the choice of opting-out of the new program if they do not wish to participate. Again, no further action will be necessary for residents who want to </w:t>
      </w:r>
      <w:r w:rsidR="00C93B09">
        <w:t xml:space="preserve">participate in </w:t>
      </w:r>
      <w:r w:rsidR="009D2C65">
        <w:t xml:space="preserve">the program. </w:t>
      </w:r>
    </w:p>
    <w:p w14:paraId="4F6D774F" w14:textId="77777777" w:rsidR="009D2C65" w:rsidRDefault="009D2C65" w:rsidP="009D2C65"/>
    <w:p w14:paraId="3586E313" w14:textId="52B6F92E" w:rsidR="009D2C65" w:rsidRDefault="009D2C65" w:rsidP="009D2C65">
      <w:pPr>
        <w:jc w:val="both"/>
        <w:rPr>
          <w:rStyle w:val="BookTitle"/>
          <w:b w:val="0"/>
          <w:bCs w:val="0"/>
          <w:i w:val="0"/>
          <w:iCs w:val="0"/>
        </w:rPr>
      </w:pPr>
      <w:r>
        <w:lastRenderedPageBreak/>
        <w:t xml:space="preserve">We appreciate your understanding and look forward to working diligently with our consultant </w:t>
      </w:r>
      <w:proofErr w:type="gramStart"/>
      <w:r>
        <w:t xml:space="preserve">in the </w:t>
      </w:r>
      <w:r w:rsidR="00930101">
        <w:t>near future</w:t>
      </w:r>
      <w:proofErr w:type="gramEnd"/>
      <w:r>
        <w:t xml:space="preserve"> to</w:t>
      </w:r>
      <w:r w:rsidR="00827390">
        <w:t xml:space="preserve"> procure a Round 3 contract </w:t>
      </w:r>
      <w:r>
        <w:t xml:space="preserve">for our residents. Should you have any further questions, please feel free reach out to </w:t>
      </w:r>
      <w:r w:rsidR="00096B67">
        <w:t xml:space="preserve">the SEAEPC energy consultant, </w:t>
      </w:r>
      <w:r>
        <w:t xml:space="preserve">Gabel Associates at </w:t>
      </w:r>
      <w:hyperlink r:id="rId10" w:history="1">
        <w:r w:rsidR="00DD1324">
          <w:rPr>
            <w:rStyle w:val="Hyperlink"/>
          </w:rPr>
          <w:t>SEA</w:t>
        </w:r>
        <w:r w:rsidR="00736621" w:rsidRPr="002D032C">
          <w:rPr>
            <w:rStyle w:val="Hyperlink"/>
          </w:rPr>
          <w:t>-info@gabelassociates.com</w:t>
        </w:r>
      </w:hyperlink>
      <w:r>
        <w:t xml:space="preserve">. </w:t>
      </w:r>
    </w:p>
    <w:p w14:paraId="3989A095" w14:textId="77777777" w:rsidR="008F3D53" w:rsidRDefault="008F3D53" w:rsidP="00AA490B">
      <w:pPr>
        <w:jc w:val="both"/>
      </w:pPr>
    </w:p>
    <w:sectPr w:rsidR="008F3D53" w:rsidSect="00C75CED">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B414" w14:textId="77777777" w:rsidR="00605F8F" w:rsidRDefault="00605F8F" w:rsidP="004B299E">
      <w:r>
        <w:separator/>
      </w:r>
    </w:p>
  </w:endnote>
  <w:endnote w:type="continuationSeparator" w:id="0">
    <w:p w14:paraId="0B0DD7C2" w14:textId="77777777" w:rsidR="00605F8F" w:rsidRDefault="00605F8F" w:rsidP="004B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321" w:type="pct"/>
      <w:tblInd w:w="4345" w:type="dxa"/>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407"/>
      <w:gridCol w:w="5810"/>
    </w:tblGrid>
    <w:tr w:rsidR="00064205" w14:paraId="02BCC7CD" w14:textId="77777777" w:rsidTr="00E93C8F">
      <w:tc>
        <w:tcPr>
          <w:tcW w:w="327" w:type="pct"/>
        </w:tcPr>
        <w:p w14:paraId="7AB927DF" w14:textId="77777777" w:rsidR="00064205" w:rsidRPr="00780ECD" w:rsidRDefault="00567851" w:rsidP="00E93C8F">
          <w:pPr>
            <w:pStyle w:val="Footer"/>
            <w:jc w:val="center"/>
            <w:rPr>
              <w:rFonts w:asciiTheme="majorHAnsi" w:hAnsiTheme="majorHAnsi"/>
              <w:color w:val="4F81BD" w:themeColor="accent1"/>
            </w:rPr>
          </w:pPr>
          <w:r w:rsidRPr="00780ECD">
            <w:rPr>
              <w:rFonts w:asciiTheme="majorHAnsi" w:hAnsiTheme="majorHAnsi"/>
            </w:rPr>
            <w:fldChar w:fldCharType="begin"/>
          </w:r>
          <w:r w:rsidR="00064205" w:rsidRPr="00780ECD">
            <w:rPr>
              <w:rFonts w:asciiTheme="majorHAnsi" w:hAnsiTheme="majorHAnsi"/>
            </w:rPr>
            <w:instrText xml:space="preserve"> PAGE   \* MERGEFORMAT </w:instrText>
          </w:r>
          <w:r w:rsidRPr="00780ECD">
            <w:rPr>
              <w:rFonts w:asciiTheme="majorHAnsi" w:hAnsiTheme="majorHAnsi"/>
            </w:rPr>
            <w:fldChar w:fldCharType="separate"/>
          </w:r>
          <w:r w:rsidR="006A1316" w:rsidRPr="006A1316">
            <w:rPr>
              <w:rFonts w:asciiTheme="majorHAnsi" w:hAnsiTheme="majorHAnsi"/>
              <w:noProof/>
              <w:color w:val="4F81BD" w:themeColor="accent1"/>
            </w:rPr>
            <w:t>2</w:t>
          </w:r>
          <w:r w:rsidRPr="00780ECD">
            <w:rPr>
              <w:rFonts w:asciiTheme="majorHAnsi" w:hAnsiTheme="majorHAnsi"/>
              <w:noProof/>
              <w:color w:val="4F81BD" w:themeColor="accent1"/>
            </w:rPr>
            <w:fldChar w:fldCharType="end"/>
          </w:r>
        </w:p>
      </w:tc>
      <w:tc>
        <w:tcPr>
          <w:tcW w:w="4673" w:type="pct"/>
        </w:tcPr>
        <w:p w14:paraId="2C3B8728" w14:textId="1166D127" w:rsidR="00064205" w:rsidRPr="00780ECD" w:rsidRDefault="00A17446">
          <w:pPr>
            <w:pStyle w:val="Footer"/>
            <w:rPr>
              <w:rFonts w:asciiTheme="majorHAnsi" w:hAnsiTheme="majorHAnsi"/>
              <w:color w:val="4F81BD" w:themeColor="accent1"/>
            </w:rPr>
          </w:pPr>
          <w:r>
            <w:rPr>
              <w:rFonts w:asciiTheme="majorHAnsi" w:hAnsiTheme="majorHAnsi"/>
              <w:color w:val="4F81BD" w:themeColor="accent1"/>
            </w:rPr>
            <w:t xml:space="preserve">Sustainable Essex Alliance </w:t>
          </w:r>
          <w:r w:rsidR="00461432">
            <w:rPr>
              <w:rFonts w:asciiTheme="majorHAnsi" w:hAnsiTheme="majorHAnsi"/>
              <w:color w:val="4F81BD" w:themeColor="accent1"/>
            </w:rPr>
            <w:t xml:space="preserve">Energy </w:t>
          </w:r>
          <w:r>
            <w:rPr>
              <w:rFonts w:asciiTheme="majorHAnsi" w:hAnsiTheme="majorHAnsi"/>
              <w:color w:val="4F81BD" w:themeColor="accent1"/>
            </w:rPr>
            <w:t>Procurement Cooperative</w:t>
          </w:r>
          <w:r w:rsidR="00064205" w:rsidRPr="00780ECD">
            <w:rPr>
              <w:rFonts w:asciiTheme="majorHAnsi" w:hAnsiTheme="majorHAnsi"/>
              <w:color w:val="4F81BD" w:themeColor="accent1"/>
            </w:rPr>
            <w:t xml:space="preserve"> </w:t>
          </w:r>
          <w:r w:rsidR="00736621">
            <w:rPr>
              <w:rFonts w:asciiTheme="majorHAnsi" w:hAnsiTheme="majorHAnsi"/>
              <w:color w:val="4F81BD" w:themeColor="accent1"/>
            </w:rPr>
            <w:t>–</w:t>
          </w:r>
          <w:r w:rsidR="00064205" w:rsidRPr="00780ECD">
            <w:rPr>
              <w:rFonts w:asciiTheme="majorHAnsi" w:hAnsiTheme="majorHAnsi"/>
              <w:color w:val="4F81BD" w:themeColor="accent1"/>
            </w:rPr>
            <w:t xml:space="preserve"> </w:t>
          </w:r>
          <w:r>
            <w:rPr>
              <w:rFonts w:asciiTheme="majorHAnsi" w:hAnsiTheme="majorHAnsi"/>
              <w:color w:val="4F81BD" w:themeColor="accent1"/>
            </w:rPr>
            <w:t xml:space="preserve">August </w:t>
          </w:r>
          <w:r w:rsidR="00945DF4">
            <w:rPr>
              <w:rFonts w:asciiTheme="majorHAnsi" w:hAnsiTheme="majorHAnsi"/>
              <w:color w:val="4F81BD" w:themeColor="accent1"/>
            </w:rPr>
            <w:t>2022</w:t>
          </w:r>
          <w:r w:rsidR="00736621">
            <w:rPr>
              <w:rFonts w:asciiTheme="majorHAnsi" w:hAnsiTheme="majorHAnsi"/>
              <w:color w:val="4F81BD" w:themeColor="accent1"/>
            </w:rPr>
            <w:t xml:space="preserve"> Update</w:t>
          </w:r>
        </w:p>
      </w:tc>
    </w:tr>
  </w:tbl>
  <w:p w14:paraId="1F49B4C7" w14:textId="77777777" w:rsidR="00064205" w:rsidRDefault="00064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D37C" w14:textId="77777777" w:rsidR="00605F8F" w:rsidRDefault="00605F8F" w:rsidP="004B299E">
      <w:r>
        <w:separator/>
      </w:r>
    </w:p>
  </w:footnote>
  <w:footnote w:type="continuationSeparator" w:id="0">
    <w:p w14:paraId="7A529532" w14:textId="77777777" w:rsidR="00605F8F" w:rsidRDefault="00605F8F" w:rsidP="004B2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95FF5"/>
    <w:multiLevelType w:val="hybridMultilevel"/>
    <w:tmpl w:val="FF18E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54A1C"/>
    <w:multiLevelType w:val="hybridMultilevel"/>
    <w:tmpl w:val="050E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C53E6"/>
    <w:multiLevelType w:val="hybridMultilevel"/>
    <w:tmpl w:val="2D5A5F24"/>
    <w:lvl w:ilvl="0" w:tplc="4462C0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B7391"/>
    <w:multiLevelType w:val="hybridMultilevel"/>
    <w:tmpl w:val="392A90F6"/>
    <w:lvl w:ilvl="0" w:tplc="04090001">
      <w:start w:val="1"/>
      <w:numFmt w:val="bullet"/>
      <w:lvlText w:val=""/>
      <w:lvlJc w:val="left"/>
      <w:pPr>
        <w:ind w:left="780" w:hanging="360"/>
      </w:pPr>
      <w:rPr>
        <w:rFonts w:ascii="Symbol" w:hAnsi="Symbol" w:hint="default"/>
      </w:rPr>
    </w:lvl>
    <w:lvl w:ilvl="1" w:tplc="E6E2EC2C">
      <w:start w:val="1"/>
      <w:numFmt w:val="bullet"/>
      <w:lvlText w:val="o"/>
      <w:lvlJc w:val="left"/>
      <w:pPr>
        <w:ind w:left="1500" w:hanging="360"/>
      </w:pPr>
      <w:rPr>
        <w:rFonts w:ascii="Courier New" w:hAnsi="Courier New" w:cs="Courier New" w:hint="default"/>
        <w:color w:val="auto"/>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2E240D7"/>
    <w:multiLevelType w:val="hybridMultilevel"/>
    <w:tmpl w:val="B2223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A03C8"/>
    <w:multiLevelType w:val="hybridMultilevel"/>
    <w:tmpl w:val="818A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8C7A88"/>
    <w:multiLevelType w:val="hybridMultilevel"/>
    <w:tmpl w:val="63C4B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60745">
    <w:abstractNumId w:val="6"/>
  </w:num>
  <w:num w:numId="2" w16cid:durableId="1734699895">
    <w:abstractNumId w:val="5"/>
  </w:num>
  <w:num w:numId="3" w16cid:durableId="443114813">
    <w:abstractNumId w:val="1"/>
  </w:num>
  <w:num w:numId="4" w16cid:durableId="1485900401">
    <w:abstractNumId w:val="4"/>
  </w:num>
  <w:num w:numId="5" w16cid:durableId="519661547">
    <w:abstractNumId w:val="3"/>
  </w:num>
  <w:num w:numId="6" w16cid:durableId="859200063">
    <w:abstractNumId w:val="2"/>
  </w:num>
  <w:num w:numId="7" w16cid:durableId="1677800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89F"/>
    <w:rsid w:val="00002E70"/>
    <w:rsid w:val="00006B6B"/>
    <w:rsid w:val="0001452B"/>
    <w:rsid w:val="00022DAB"/>
    <w:rsid w:val="000404FD"/>
    <w:rsid w:val="00041C91"/>
    <w:rsid w:val="000538F1"/>
    <w:rsid w:val="00053EC4"/>
    <w:rsid w:val="00064205"/>
    <w:rsid w:val="00064508"/>
    <w:rsid w:val="000714BD"/>
    <w:rsid w:val="00071592"/>
    <w:rsid w:val="0007543D"/>
    <w:rsid w:val="000755DA"/>
    <w:rsid w:val="00076E1E"/>
    <w:rsid w:val="000775C3"/>
    <w:rsid w:val="00084D39"/>
    <w:rsid w:val="000917C3"/>
    <w:rsid w:val="00096B67"/>
    <w:rsid w:val="000A39BE"/>
    <w:rsid w:val="000A6BEB"/>
    <w:rsid w:val="000B1C22"/>
    <w:rsid w:val="000D000E"/>
    <w:rsid w:val="000D2164"/>
    <w:rsid w:val="000F6035"/>
    <w:rsid w:val="000F7217"/>
    <w:rsid w:val="00105DED"/>
    <w:rsid w:val="00106543"/>
    <w:rsid w:val="00123021"/>
    <w:rsid w:val="001248B8"/>
    <w:rsid w:val="0012702E"/>
    <w:rsid w:val="00131ECA"/>
    <w:rsid w:val="00132A6B"/>
    <w:rsid w:val="0014572D"/>
    <w:rsid w:val="001577E2"/>
    <w:rsid w:val="0016151D"/>
    <w:rsid w:val="00167C02"/>
    <w:rsid w:val="0018339B"/>
    <w:rsid w:val="00183F59"/>
    <w:rsid w:val="001926ED"/>
    <w:rsid w:val="00197215"/>
    <w:rsid w:val="001A0FB9"/>
    <w:rsid w:val="001B676D"/>
    <w:rsid w:val="001B7988"/>
    <w:rsid w:val="001C3189"/>
    <w:rsid w:val="001E20C6"/>
    <w:rsid w:val="001F25C7"/>
    <w:rsid w:val="001F2E50"/>
    <w:rsid w:val="001F7626"/>
    <w:rsid w:val="002051FE"/>
    <w:rsid w:val="0021377C"/>
    <w:rsid w:val="00213942"/>
    <w:rsid w:val="00225F11"/>
    <w:rsid w:val="002306CC"/>
    <w:rsid w:val="00231D1B"/>
    <w:rsid w:val="0024537B"/>
    <w:rsid w:val="00252E25"/>
    <w:rsid w:val="00257731"/>
    <w:rsid w:val="0027639A"/>
    <w:rsid w:val="0028142F"/>
    <w:rsid w:val="00285092"/>
    <w:rsid w:val="002874CE"/>
    <w:rsid w:val="00293026"/>
    <w:rsid w:val="0029496B"/>
    <w:rsid w:val="00294C45"/>
    <w:rsid w:val="002A5EA7"/>
    <w:rsid w:val="002B6AD3"/>
    <w:rsid w:val="002E18A9"/>
    <w:rsid w:val="002F092D"/>
    <w:rsid w:val="003073AC"/>
    <w:rsid w:val="00307E59"/>
    <w:rsid w:val="00311AC8"/>
    <w:rsid w:val="00322AA1"/>
    <w:rsid w:val="0033525C"/>
    <w:rsid w:val="00342232"/>
    <w:rsid w:val="0035306C"/>
    <w:rsid w:val="00356020"/>
    <w:rsid w:val="003577E2"/>
    <w:rsid w:val="00367395"/>
    <w:rsid w:val="0038018B"/>
    <w:rsid w:val="00380C4B"/>
    <w:rsid w:val="00382930"/>
    <w:rsid w:val="003A67C0"/>
    <w:rsid w:val="003B360E"/>
    <w:rsid w:val="003C1F0E"/>
    <w:rsid w:val="003C598A"/>
    <w:rsid w:val="003C6541"/>
    <w:rsid w:val="003C7755"/>
    <w:rsid w:val="003C77AB"/>
    <w:rsid w:val="003D0752"/>
    <w:rsid w:val="003D64CF"/>
    <w:rsid w:val="003E7BAD"/>
    <w:rsid w:val="003F3638"/>
    <w:rsid w:val="003F69DA"/>
    <w:rsid w:val="003F6A3C"/>
    <w:rsid w:val="003F7191"/>
    <w:rsid w:val="00401E2A"/>
    <w:rsid w:val="00422A3C"/>
    <w:rsid w:val="00422F46"/>
    <w:rsid w:val="004254D2"/>
    <w:rsid w:val="0042579A"/>
    <w:rsid w:val="00427D15"/>
    <w:rsid w:val="004345B8"/>
    <w:rsid w:val="00435511"/>
    <w:rsid w:val="00451410"/>
    <w:rsid w:val="004552AC"/>
    <w:rsid w:val="00460432"/>
    <w:rsid w:val="00461432"/>
    <w:rsid w:val="00466537"/>
    <w:rsid w:val="00483C01"/>
    <w:rsid w:val="00484D80"/>
    <w:rsid w:val="00493C9A"/>
    <w:rsid w:val="00497B69"/>
    <w:rsid w:val="004A284F"/>
    <w:rsid w:val="004B299E"/>
    <w:rsid w:val="004B60B5"/>
    <w:rsid w:val="004C7C22"/>
    <w:rsid w:val="004D0803"/>
    <w:rsid w:val="004D7B45"/>
    <w:rsid w:val="004F19AA"/>
    <w:rsid w:val="004F72B5"/>
    <w:rsid w:val="00506671"/>
    <w:rsid w:val="005103AF"/>
    <w:rsid w:val="005137B5"/>
    <w:rsid w:val="005157F9"/>
    <w:rsid w:val="00516064"/>
    <w:rsid w:val="00520C42"/>
    <w:rsid w:val="00522846"/>
    <w:rsid w:val="005523C5"/>
    <w:rsid w:val="00561427"/>
    <w:rsid w:val="00567851"/>
    <w:rsid w:val="00584C28"/>
    <w:rsid w:val="00587C1A"/>
    <w:rsid w:val="0059184A"/>
    <w:rsid w:val="00597F5F"/>
    <w:rsid w:val="005A6545"/>
    <w:rsid w:val="005B7B88"/>
    <w:rsid w:val="005C4068"/>
    <w:rsid w:val="005D7756"/>
    <w:rsid w:val="005F75A4"/>
    <w:rsid w:val="00605F8F"/>
    <w:rsid w:val="00620782"/>
    <w:rsid w:val="00636FE4"/>
    <w:rsid w:val="006371EA"/>
    <w:rsid w:val="006505BF"/>
    <w:rsid w:val="00653FC2"/>
    <w:rsid w:val="00656512"/>
    <w:rsid w:val="00660145"/>
    <w:rsid w:val="0069041E"/>
    <w:rsid w:val="00694B08"/>
    <w:rsid w:val="00696779"/>
    <w:rsid w:val="006A1316"/>
    <w:rsid w:val="006B71CC"/>
    <w:rsid w:val="006C1321"/>
    <w:rsid w:val="006C2034"/>
    <w:rsid w:val="006C5713"/>
    <w:rsid w:val="006C62FF"/>
    <w:rsid w:val="006E70A9"/>
    <w:rsid w:val="007165CA"/>
    <w:rsid w:val="00720BB7"/>
    <w:rsid w:val="00730638"/>
    <w:rsid w:val="00733778"/>
    <w:rsid w:val="00736074"/>
    <w:rsid w:val="00736621"/>
    <w:rsid w:val="00745FC4"/>
    <w:rsid w:val="00746706"/>
    <w:rsid w:val="00747BEC"/>
    <w:rsid w:val="0075459B"/>
    <w:rsid w:val="00757D4F"/>
    <w:rsid w:val="00760552"/>
    <w:rsid w:val="00765EEC"/>
    <w:rsid w:val="00780ECD"/>
    <w:rsid w:val="007869F0"/>
    <w:rsid w:val="00796090"/>
    <w:rsid w:val="007A4415"/>
    <w:rsid w:val="007B0BD2"/>
    <w:rsid w:val="007B658E"/>
    <w:rsid w:val="007B7629"/>
    <w:rsid w:val="007C46E7"/>
    <w:rsid w:val="007C5F53"/>
    <w:rsid w:val="007D23C2"/>
    <w:rsid w:val="007D40B0"/>
    <w:rsid w:val="008028C1"/>
    <w:rsid w:val="00814630"/>
    <w:rsid w:val="008236BD"/>
    <w:rsid w:val="00827390"/>
    <w:rsid w:val="00833BAC"/>
    <w:rsid w:val="008456DE"/>
    <w:rsid w:val="00846205"/>
    <w:rsid w:val="00862002"/>
    <w:rsid w:val="008624F8"/>
    <w:rsid w:val="0086577A"/>
    <w:rsid w:val="00867CDC"/>
    <w:rsid w:val="00870A0C"/>
    <w:rsid w:val="00871269"/>
    <w:rsid w:val="00876EE0"/>
    <w:rsid w:val="0087778F"/>
    <w:rsid w:val="008A2049"/>
    <w:rsid w:val="008A369F"/>
    <w:rsid w:val="008A6FA5"/>
    <w:rsid w:val="008B0333"/>
    <w:rsid w:val="008B1B20"/>
    <w:rsid w:val="008C55C8"/>
    <w:rsid w:val="008D14BF"/>
    <w:rsid w:val="008D72CE"/>
    <w:rsid w:val="008E458F"/>
    <w:rsid w:val="008F3D53"/>
    <w:rsid w:val="008F7D8A"/>
    <w:rsid w:val="0090430A"/>
    <w:rsid w:val="00930101"/>
    <w:rsid w:val="009306F9"/>
    <w:rsid w:val="00931021"/>
    <w:rsid w:val="00944F6D"/>
    <w:rsid w:val="00945DF4"/>
    <w:rsid w:val="00953D38"/>
    <w:rsid w:val="00964613"/>
    <w:rsid w:val="00967E69"/>
    <w:rsid w:val="00971048"/>
    <w:rsid w:val="00972DB3"/>
    <w:rsid w:val="009906F9"/>
    <w:rsid w:val="0099253B"/>
    <w:rsid w:val="00995601"/>
    <w:rsid w:val="00997BB2"/>
    <w:rsid w:val="009A2A57"/>
    <w:rsid w:val="009A6BC6"/>
    <w:rsid w:val="009D2C65"/>
    <w:rsid w:val="009D3B16"/>
    <w:rsid w:val="009D6547"/>
    <w:rsid w:val="009F3F9E"/>
    <w:rsid w:val="00A0141E"/>
    <w:rsid w:val="00A1505A"/>
    <w:rsid w:val="00A17446"/>
    <w:rsid w:val="00A22E40"/>
    <w:rsid w:val="00A27944"/>
    <w:rsid w:val="00A27E93"/>
    <w:rsid w:val="00A47DB8"/>
    <w:rsid w:val="00A61BCE"/>
    <w:rsid w:val="00A72112"/>
    <w:rsid w:val="00A82A78"/>
    <w:rsid w:val="00A85091"/>
    <w:rsid w:val="00AA490B"/>
    <w:rsid w:val="00AB0CFB"/>
    <w:rsid w:val="00AB1EB1"/>
    <w:rsid w:val="00AB20EC"/>
    <w:rsid w:val="00AB489F"/>
    <w:rsid w:val="00AE0221"/>
    <w:rsid w:val="00AE35AE"/>
    <w:rsid w:val="00AE6257"/>
    <w:rsid w:val="00AF503C"/>
    <w:rsid w:val="00B041E5"/>
    <w:rsid w:val="00B048E8"/>
    <w:rsid w:val="00B05991"/>
    <w:rsid w:val="00B11198"/>
    <w:rsid w:val="00B25151"/>
    <w:rsid w:val="00B26F63"/>
    <w:rsid w:val="00B3104E"/>
    <w:rsid w:val="00B33A18"/>
    <w:rsid w:val="00B51131"/>
    <w:rsid w:val="00B518D0"/>
    <w:rsid w:val="00B809DA"/>
    <w:rsid w:val="00B958DA"/>
    <w:rsid w:val="00BA0F34"/>
    <w:rsid w:val="00BA3F2F"/>
    <w:rsid w:val="00BB1833"/>
    <w:rsid w:val="00BB788B"/>
    <w:rsid w:val="00BC0A58"/>
    <w:rsid w:val="00BC6147"/>
    <w:rsid w:val="00BD3364"/>
    <w:rsid w:val="00BE0A8B"/>
    <w:rsid w:val="00BE2014"/>
    <w:rsid w:val="00BE43DD"/>
    <w:rsid w:val="00C15292"/>
    <w:rsid w:val="00C24B48"/>
    <w:rsid w:val="00C40115"/>
    <w:rsid w:val="00C50702"/>
    <w:rsid w:val="00C53FB1"/>
    <w:rsid w:val="00C6468F"/>
    <w:rsid w:val="00C75CED"/>
    <w:rsid w:val="00C76AA2"/>
    <w:rsid w:val="00C93B09"/>
    <w:rsid w:val="00C95FC7"/>
    <w:rsid w:val="00CA3A70"/>
    <w:rsid w:val="00CA694A"/>
    <w:rsid w:val="00CB548D"/>
    <w:rsid w:val="00CB65BF"/>
    <w:rsid w:val="00CD6CB1"/>
    <w:rsid w:val="00CE19E9"/>
    <w:rsid w:val="00CF08F9"/>
    <w:rsid w:val="00CF58B6"/>
    <w:rsid w:val="00CF75E8"/>
    <w:rsid w:val="00D01672"/>
    <w:rsid w:val="00D03154"/>
    <w:rsid w:val="00D03EBF"/>
    <w:rsid w:val="00D04292"/>
    <w:rsid w:val="00D104AF"/>
    <w:rsid w:val="00D16AF7"/>
    <w:rsid w:val="00D20877"/>
    <w:rsid w:val="00D25F09"/>
    <w:rsid w:val="00D320CF"/>
    <w:rsid w:val="00D41FD9"/>
    <w:rsid w:val="00D45A16"/>
    <w:rsid w:val="00D53CBA"/>
    <w:rsid w:val="00D65560"/>
    <w:rsid w:val="00D6703B"/>
    <w:rsid w:val="00D70D6F"/>
    <w:rsid w:val="00D77343"/>
    <w:rsid w:val="00D93870"/>
    <w:rsid w:val="00DA5AA7"/>
    <w:rsid w:val="00DB465D"/>
    <w:rsid w:val="00DC1C1F"/>
    <w:rsid w:val="00DC23EC"/>
    <w:rsid w:val="00DC27BC"/>
    <w:rsid w:val="00DC6BFA"/>
    <w:rsid w:val="00DD1324"/>
    <w:rsid w:val="00DD5A89"/>
    <w:rsid w:val="00DD6EA4"/>
    <w:rsid w:val="00DD7ACE"/>
    <w:rsid w:val="00DF502A"/>
    <w:rsid w:val="00E14DDE"/>
    <w:rsid w:val="00E16B02"/>
    <w:rsid w:val="00E2171A"/>
    <w:rsid w:val="00E27336"/>
    <w:rsid w:val="00E32D57"/>
    <w:rsid w:val="00E60EAC"/>
    <w:rsid w:val="00E673BD"/>
    <w:rsid w:val="00E93C8F"/>
    <w:rsid w:val="00E94DA8"/>
    <w:rsid w:val="00E95100"/>
    <w:rsid w:val="00E97BCC"/>
    <w:rsid w:val="00EA3308"/>
    <w:rsid w:val="00EA6E91"/>
    <w:rsid w:val="00EC30E0"/>
    <w:rsid w:val="00ED2871"/>
    <w:rsid w:val="00EE0B70"/>
    <w:rsid w:val="00EE0C08"/>
    <w:rsid w:val="00EE6744"/>
    <w:rsid w:val="00EF0B77"/>
    <w:rsid w:val="00EF272D"/>
    <w:rsid w:val="00F11885"/>
    <w:rsid w:val="00F11F65"/>
    <w:rsid w:val="00F37B6A"/>
    <w:rsid w:val="00F42DF0"/>
    <w:rsid w:val="00F435A7"/>
    <w:rsid w:val="00F614C0"/>
    <w:rsid w:val="00F63331"/>
    <w:rsid w:val="00F727A4"/>
    <w:rsid w:val="00F7501F"/>
    <w:rsid w:val="00F80595"/>
    <w:rsid w:val="00F8716A"/>
    <w:rsid w:val="00F906D6"/>
    <w:rsid w:val="00FA03A8"/>
    <w:rsid w:val="00FC118E"/>
    <w:rsid w:val="00FE20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oNotEmbedSmartTags/>
  <w:decimalSymbol w:val="."/>
  <w:listSeparator w:val=","/>
  <w14:docId w14:val="723706D1"/>
  <w15:docId w15:val="{4524E33E-A33B-4CE9-81D2-F3DC4B48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5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89F"/>
    <w:pPr>
      <w:ind w:left="720"/>
      <w:contextualSpacing/>
    </w:pPr>
  </w:style>
  <w:style w:type="character" w:styleId="Strong">
    <w:name w:val="Strong"/>
    <w:basedOn w:val="DefaultParagraphFont"/>
    <w:uiPriority w:val="22"/>
    <w:qFormat/>
    <w:rsid w:val="002E18A9"/>
    <w:rPr>
      <w:b/>
      <w:bCs/>
    </w:rPr>
  </w:style>
  <w:style w:type="character" w:styleId="CommentReference">
    <w:name w:val="annotation reference"/>
    <w:basedOn w:val="DefaultParagraphFont"/>
    <w:uiPriority w:val="99"/>
    <w:semiHidden/>
    <w:unhideWhenUsed/>
    <w:rsid w:val="00285092"/>
    <w:rPr>
      <w:sz w:val="16"/>
      <w:szCs w:val="16"/>
    </w:rPr>
  </w:style>
  <w:style w:type="paragraph" w:styleId="CommentText">
    <w:name w:val="annotation text"/>
    <w:basedOn w:val="Normal"/>
    <w:link w:val="CommentTextChar"/>
    <w:uiPriority w:val="99"/>
    <w:semiHidden/>
    <w:unhideWhenUsed/>
    <w:rsid w:val="00285092"/>
    <w:rPr>
      <w:sz w:val="20"/>
      <w:szCs w:val="20"/>
    </w:rPr>
  </w:style>
  <w:style w:type="character" w:customStyle="1" w:styleId="CommentTextChar">
    <w:name w:val="Comment Text Char"/>
    <w:basedOn w:val="DefaultParagraphFont"/>
    <w:link w:val="CommentText"/>
    <w:uiPriority w:val="99"/>
    <w:semiHidden/>
    <w:rsid w:val="00285092"/>
  </w:style>
  <w:style w:type="paragraph" w:styleId="CommentSubject">
    <w:name w:val="annotation subject"/>
    <w:basedOn w:val="CommentText"/>
    <w:next w:val="CommentText"/>
    <w:link w:val="CommentSubjectChar"/>
    <w:uiPriority w:val="99"/>
    <w:semiHidden/>
    <w:unhideWhenUsed/>
    <w:rsid w:val="00285092"/>
    <w:rPr>
      <w:b/>
      <w:bCs/>
    </w:rPr>
  </w:style>
  <w:style w:type="character" w:customStyle="1" w:styleId="CommentSubjectChar">
    <w:name w:val="Comment Subject Char"/>
    <w:basedOn w:val="CommentTextChar"/>
    <w:link w:val="CommentSubject"/>
    <w:uiPriority w:val="99"/>
    <w:semiHidden/>
    <w:rsid w:val="00285092"/>
    <w:rPr>
      <w:b/>
      <w:bCs/>
    </w:rPr>
  </w:style>
  <w:style w:type="paragraph" w:styleId="BalloonText">
    <w:name w:val="Balloon Text"/>
    <w:basedOn w:val="Normal"/>
    <w:link w:val="BalloonTextChar"/>
    <w:uiPriority w:val="99"/>
    <w:semiHidden/>
    <w:unhideWhenUsed/>
    <w:rsid w:val="00285092"/>
    <w:rPr>
      <w:rFonts w:ascii="Tahoma" w:hAnsi="Tahoma" w:cs="Tahoma"/>
      <w:sz w:val="16"/>
      <w:szCs w:val="16"/>
    </w:rPr>
  </w:style>
  <w:style w:type="character" w:customStyle="1" w:styleId="BalloonTextChar">
    <w:name w:val="Balloon Text Char"/>
    <w:basedOn w:val="DefaultParagraphFont"/>
    <w:link w:val="BalloonText"/>
    <w:uiPriority w:val="99"/>
    <w:semiHidden/>
    <w:rsid w:val="00285092"/>
    <w:rPr>
      <w:rFonts w:ascii="Tahoma" w:hAnsi="Tahoma" w:cs="Tahoma"/>
      <w:sz w:val="16"/>
      <w:szCs w:val="16"/>
    </w:rPr>
  </w:style>
  <w:style w:type="paragraph" w:styleId="Revision">
    <w:name w:val="Revision"/>
    <w:hidden/>
    <w:uiPriority w:val="99"/>
    <w:semiHidden/>
    <w:rsid w:val="00694B08"/>
    <w:rPr>
      <w:sz w:val="24"/>
      <w:szCs w:val="24"/>
    </w:rPr>
  </w:style>
  <w:style w:type="paragraph" w:styleId="Header">
    <w:name w:val="header"/>
    <w:basedOn w:val="Normal"/>
    <w:link w:val="HeaderChar"/>
    <w:uiPriority w:val="99"/>
    <w:unhideWhenUsed/>
    <w:rsid w:val="004B299E"/>
    <w:pPr>
      <w:tabs>
        <w:tab w:val="center" w:pos="4680"/>
        <w:tab w:val="right" w:pos="9360"/>
      </w:tabs>
    </w:pPr>
  </w:style>
  <w:style w:type="character" w:customStyle="1" w:styleId="HeaderChar">
    <w:name w:val="Header Char"/>
    <w:basedOn w:val="DefaultParagraphFont"/>
    <w:link w:val="Header"/>
    <w:uiPriority w:val="99"/>
    <w:rsid w:val="004B299E"/>
    <w:rPr>
      <w:sz w:val="24"/>
      <w:szCs w:val="24"/>
    </w:rPr>
  </w:style>
  <w:style w:type="paragraph" w:styleId="Footer">
    <w:name w:val="footer"/>
    <w:basedOn w:val="Normal"/>
    <w:link w:val="FooterChar"/>
    <w:uiPriority w:val="99"/>
    <w:unhideWhenUsed/>
    <w:rsid w:val="004B299E"/>
    <w:pPr>
      <w:tabs>
        <w:tab w:val="center" w:pos="4680"/>
        <w:tab w:val="right" w:pos="9360"/>
      </w:tabs>
    </w:pPr>
  </w:style>
  <w:style w:type="character" w:customStyle="1" w:styleId="FooterChar">
    <w:name w:val="Footer Char"/>
    <w:basedOn w:val="DefaultParagraphFont"/>
    <w:link w:val="Footer"/>
    <w:uiPriority w:val="99"/>
    <w:rsid w:val="004B299E"/>
    <w:rPr>
      <w:sz w:val="24"/>
      <w:szCs w:val="24"/>
    </w:rPr>
  </w:style>
  <w:style w:type="paragraph" w:styleId="BodyText">
    <w:name w:val="Body Text"/>
    <w:basedOn w:val="Normal"/>
    <w:link w:val="BodyTextChar"/>
    <w:rsid w:val="0033525C"/>
    <w:pPr>
      <w:spacing w:before="100" w:beforeAutospacing="1" w:after="100" w:afterAutospacing="1"/>
      <w:jc w:val="both"/>
    </w:pPr>
    <w:rPr>
      <w:rFonts w:ascii="Arial" w:eastAsia="Times New Roman" w:hAnsi="Arial" w:cs="Arial"/>
      <w:b/>
      <w:bCs/>
      <w:i/>
      <w:iCs/>
      <w:color w:val="000080"/>
      <w:szCs w:val="20"/>
      <w:lang w:eastAsia="en-US"/>
    </w:rPr>
  </w:style>
  <w:style w:type="character" w:customStyle="1" w:styleId="BodyTextChar">
    <w:name w:val="Body Text Char"/>
    <w:basedOn w:val="DefaultParagraphFont"/>
    <w:link w:val="BodyText"/>
    <w:rsid w:val="0033525C"/>
    <w:rPr>
      <w:rFonts w:ascii="Arial" w:eastAsia="Times New Roman" w:hAnsi="Arial" w:cs="Arial"/>
      <w:b/>
      <w:bCs/>
      <w:i/>
      <w:iCs/>
      <w:color w:val="000080"/>
      <w:sz w:val="24"/>
      <w:lang w:eastAsia="en-US"/>
    </w:rPr>
  </w:style>
  <w:style w:type="character" w:styleId="Hyperlink">
    <w:name w:val="Hyperlink"/>
    <w:basedOn w:val="DefaultParagraphFont"/>
    <w:uiPriority w:val="99"/>
    <w:unhideWhenUsed/>
    <w:rsid w:val="00876EE0"/>
    <w:rPr>
      <w:color w:val="0000FF"/>
      <w:u w:val="single"/>
    </w:rPr>
  </w:style>
  <w:style w:type="paragraph" w:styleId="NoSpacing">
    <w:name w:val="No Spacing"/>
    <w:uiPriority w:val="1"/>
    <w:qFormat/>
    <w:rsid w:val="00876EE0"/>
    <w:rPr>
      <w:rFonts w:ascii="Calibri" w:eastAsia="Calibri" w:hAnsi="Calibri" w:cs="Times New Roman"/>
      <w:sz w:val="22"/>
      <w:szCs w:val="22"/>
      <w:lang w:eastAsia="en-US"/>
    </w:rPr>
  </w:style>
  <w:style w:type="paragraph" w:styleId="DocumentMap">
    <w:name w:val="Document Map"/>
    <w:basedOn w:val="Normal"/>
    <w:link w:val="DocumentMapChar"/>
    <w:uiPriority w:val="99"/>
    <w:semiHidden/>
    <w:unhideWhenUsed/>
    <w:rsid w:val="00CB65BF"/>
    <w:rPr>
      <w:rFonts w:ascii="Tahoma" w:hAnsi="Tahoma" w:cs="Tahoma"/>
      <w:sz w:val="16"/>
      <w:szCs w:val="16"/>
    </w:rPr>
  </w:style>
  <w:style w:type="character" w:customStyle="1" w:styleId="DocumentMapChar">
    <w:name w:val="Document Map Char"/>
    <w:basedOn w:val="DefaultParagraphFont"/>
    <w:link w:val="DocumentMap"/>
    <w:uiPriority w:val="99"/>
    <w:semiHidden/>
    <w:rsid w:val="00CB65BF"/>
    <w:rPr>
      <w:rFonts w:ascii="Tahoma" w:hAnsi="Tahoma" w:cs="Tahoma"/>
      <w:sz w:val="16"/>
      <w:szCs w:val="16"/>
    </w:rPr>
  </w:style>
  <w:style w:type="table" w:styleId="TableGrid">
    <w:name w:val="Table Grid"/>
    <w:basedOn w:val="TableNormal"/>
    <w:uiPriority w:val="59"/>
    <w:rsid w:val="0059184A"/>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9D2C65"/>
    <w:rPr>
      <w:b/>
      <w:bCs/>
      <w:i/>
      <w:iCs/>
      <w:spacing w:val="5"/>
    </w:rPr>
  </w:style>
  <w:style w:type="character" w:customStyle="1" w:styleId="UnresolvedMention1">
    <w:name w:val="Unresolved Mention1"/>
    <w:basedOn w:val="DefaultParagraphFont"/>
    <w:uiPriority w:val="99"/>
    <w:semiHidden/>
    <w:unhideWhenUsed/>
    <w:rsid w:val="007C5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3455">
      <w:bodyDiv w:val="1"/>
      <w:marLeft w:val="0"/>
      <w:marRight w:val="0"/>
      <w:marTop w:val="0"/>
      <w:marBottom w:val="0"/>
      <w:divBdr>
        <w:top w:val="none" w:sz="0" w:space="0" w:color="auto"/>
        <w:left w:val="none" w:sz="0" w:space="0" w:color="auto"/>
        <w:bottom w:val="none" w:sz="0" w:space="0" w:color="auto"/>
        <w:right w:val="none" w:sz="0" w:space="0" w:color="auto"/>
      </w:divBdr>
    </w:div>
    <w:div w:id="715665907">
      <w:bodyDiv w:val="1"/>
      <w:marLeft w:val="0"/>
      <w:marRight w:val="0"/>
      <w:marTop w:val="0"/>
      <w:marBottom w:val="0"/>
      <w:divBdr>
        <w:top w:val="none" w:sz="0" w:space="0" w:color="auto"/>
        <w:left w:val="none" w:sz="0" w:space="0" w:color="auto"/>
        <w:bottom w:val="none" w:sz="0" w:space="0" w:color="auto"/>
        <w:right w:val="none" w:sz="0" w:space="0" w:color="auto"/>
      </w:divBdr>
    </w:div>
    <w:div w:id="1560550791">
      <w:bodyDiv w:val="1"/>
      <w:marLeft w:val="0"/>
      <w:marRight w:val="0"/>
      <w:marTop w:val="0"/>
      <w:marBottom w:val="0"/>
      <w:divBdr>
        <w:top w:val="none" w:sz="0" w:space="0" w:color="auto"/>
        <w:left w:val="none" w:sz="0" w:space="0" w:color="auto"/>
        <w:bottom w:val="none" w:sz="0" w:space="0" w:color="auto"/>
        <w:right w:val="none" w:sz="0" w:space="0" w:color="auto"/>
      </w:divBdr>
    </w:div>
    <w:div w:id="1907259320">
      <w:bodyDiv w:val="1"/>
      <w:marLeft w:val="0"/>
      <w:marRight w:val="0"/>
      <w:marTop w:val="0"/>
      <w:marBottom w:val="0"/>
      <w:divBdr>
        <w:top w:val="none" w:sz="0" w:space="0" w:color="auto"/>
        <w:left w:val="none" w:sz="0" w:space="0" w:color="auto"/>
        <w:bottom w:val="none" w:sz="0" w:space="0" w:color="auto"/>
        <w:right w:val="none" w:sz="0" w:space="0" w:color="auto"/>
      </w:divBdr>
    </w:div>
    <w:div w:id="2075659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CEA-info@gabelassociates.com"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E51269-BF47-4EDC-9FF0-0F610EA4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Acumen Technology Group, LLC</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Cloud</dc:creator>
  <cp:lastModifiedBy>Michaela Benton</cp:lastModifiedBy>
  <cp:revision>2</cp:revision>
  <cp:lastPrinted>2018-11-21T13:49:00Z</cp:lastPrinted>
  <dcterms:created xsi:type="dcterms:W3CDTF">2022-08-16T15:34:00Z</dcterms:created>
  <dcterms:modified xsi:type="dcterms:W3CDTF">2022-08-16T15:34:00Z</dcterms:modified>
</cp:coreProperties>
</file>