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ABBA9" w14:textId="77777777" w:rsidR="00C87B1B" w:rsidRPr="004A197D" w:rsidRDefault="00C87B1B" w:rsidP="004A197D">
      <w:pPr>
        <w:rPr>
          <w:b/>
          <w:bCs/>
          <w:sz w:val="28"/>
          <w:szCs w:val="28"/>
        </w:rPr>
      </w:pPr>
      <w:r w:rsidRPr="004A197D">
        <w:rPr>
          <w:b/>
          <w:bCs/>
          <w:sz w:val="28"/>
          <w:szCs w:val="28"/>
        </w:rPr>
        <w:t>Integration Does Not Happen by Chance: The Case for Staying True to III</w:t>
      </w:r>
    </w:p>
    <w:p w14:paraId="1CEE2800" w14:textId="77777777" w:rsidR="00C87B1B" w:rsidRPr="004A197D" w:rsidRDefault="00C87B1B" w:rsidP="004A197D">
      <w:r w:rsidRPr="004A197D">
        <w:t>By Dr. Qawi Telesford and Thair Joshua</w:t>
      </w:r>
    </w:p>
    <w:p w14:paraId="77814729" w14:textId="77777777" w:rsidR="00C87B1B" w:rsidRPr="004A197D" w:rsidRDefault="00C87B1B" w:rsidP="004A197D">
      <w:r w:rsidRPr="004A197D">
        <w:t>The Intentional Integration Initiative (III) entered its fifth year in 2025-2026, continuing a successful effort to ensure every elementary school in South Orange-Maplewood reflects the diversity of our community. While there are different ways to define diversity, the III focuses on socioeconomic balance as its primary tool to promote equity.</w:t>
      </w:r>
    </w:p>
    <w:p w14:paraId="3593F4D1" w14:textId="77777777" w:rsidR="00C87B1B" w:rsidRPr="004A197D" w:rsidRDefault="00C87B1B" w:rsidP="004A197D">
      <w:r w:rsidRPr="004A197D">
        <w:t>Before III, nearly every elementary school had a heavy concentration of students from a single socioeconomic level. Those imbalances had persisted for years despite multiple attempts to address school segregation. When III began, those disparities fell dramatically. The average difference between socioeconomic levels fell from 25% before III to about 5% today.  That progress was not accidental. It came from deliberate, careful, and courageous work by educators, administrators, and families who understand that equity does not happen by chance.</w:t>
      </w:r>
    </w:p>
    <w:p w14:paraId="0823D8C3" w14:textId="77777777" w:rsidR="00C87B1B" w:rsidRPr="004A197D" w:rsidRDefault="00C87B1B" w:rsidP="004A197D">
      <w:r w:rsidRPr="004A197D">
        <w:t>Thoughtful discussions about implementation are always welcome, but critics of III often use misleading narratives to question its purpose or effectiveness. From the start, some have portrayed integration as an inconvenience rather than a necessity. Each year, new arguments surface, but the approach is the same: portray III as the source of problems that can only be addressed by loosening standards or redefining integration itself.</w:t>
      </w:r>
    </w:p>
    <w:p w14:paraId="623F545B" w14:textId="77777777" w:rsidR="00C87B1B" w:rsidRPr="004A197D" w:rsidRDefault="00C87B1B" w:rsidP="004A197D">
      <w:r w:rsidRPr="004A197D">
        <w:t>The latest example is the proposal to increase the variance from 5% to 10%, an idea that was already evaluated and deemed inappropriate. In their Year One Report for III, consultants Michael Alves and Tracy McArdle concluded, after running beta models at both 5% and 10%, “</w:t>
      </w:r>
      <w:hyperlink r:id="rId4" w:history="1">
        <w:r w:rsidRPr="004A197D">
          <w:rPr>
            <w:rStyle w:val="Hyperlink"/>
            <w:rFonts w:eastAsiaTheme="majorEastAsia" w:cs="Arial"/>
            <w:spacing w:val="-10"/>
            <w:kern w:val="28"/>
          </w:rPr>
          <w:t>that the ±5% variance was best suited as the integration metric for the SOMSD</w:t>
        </w:r>
      </w:hyperlink>
      <w:r w:rsidRPr="004A197D">
        <w:t>.”</w:t>
      </w:r>
    </w:p>
    <w:p w14:paraId="329404A5" w14:textId="77777777" w:rsidR="00C87B1B" w:rsidRPr="004A197D" w:rsidRDefault="00C87B1B" w:rsidP="004A197D">
      <w:r w:rsidRPr="004A197D">
        <w:t xml:space="preserve">That conclusion should have settled the matter. </w:t>
      </w:r>
      <w:proofErr w:type="gramStart"/>
      <w:r w:rsidRPr="004A197D">
        <w:t>So</w:t>
      </w:r>
      <w:proofErr w:type="gramEnd"/>
      <w:r w:rsidRPr="004A197D">
        <w:t xml:space="preserve"> it comes as a surprise that Board leadership and the Rutgers committee are again spending time and resources pressing the district to reexamine already settled work. Instead, the Board should direct its focus toward ensuring that teachers, classrooms, and programs have the support they need to build shared school cultures that make integration meaningful beyond enrollment statistics.</w:t>
      </w:r>
    </w:p>
    <w:p w14:paraId="738302C2" w14:textId="46C60F0D" w:rsidR="00C87B1B" w:rsidRPr="004A197D" w:rsidRDefault="00C87B1B" w:rsidP="004A197D">
      <w:r w:rsidRPr="004A197D">
        <w:t xml:space="preserve">To understand why changing the variance matters, we must look at where the district started. For background, the variance measure in III compares a school’s socioeconomic percentages with the district average. In 2020-2021, </w:t>
      </w:r>
      <w:hyperlink r:id="rId5" w:history="1">
        <w:r w:rsidRPr="004A197D">
          <w:rPr>
            <w:rStyle w:val="Hyperlink"/>
            <w:rFonts w:eastAsiaTheme="majorEastAsia" w:cs="Arial"/>
            <w:spacing w:val="-10"/>
            <w:kern w:val="28"/>
          </w:rPr>
          <w:t>the average variance across schools was 14%</w:t>
        </w:r>
      </w:hyperlink>
      <w:r w:rsidRPr="004A197D">
        <w:t>, with some exceeding 40% variance. Several schools had more than half their students from a single socioeconomic group. That imbalance matters. Research consistently shows that when a school’s population</w:t>
      </w:r>
      <w:r w:rsidR="004A197D">
        <w:t xml:space="preserve"> </w:t>
      </w:r>
      <w:hyperlink r:id="rId6" w:history="1">
        <w:r w:rsidRPr="004A197D">
          <w:rPr>
            <w:rStyle w:val="Hyperlink"/>
            <w:rFonts w:eastAsiaTheme="majorEastAsia" w:cs="Arial"/>
            <w:spacing w:val="-10"/>
            <w:kern w:val="28"/>
          </w:rPr>
          <w:t>exceeds 40% from any single socioeconomic group</w:t>
        </w:r>
      </w:hyperlink>
      <w:r w:rsidRPr="004A197D">
        <w:t xml:space="preserve">, student </w:t>
      </w:r>
      <w:r w:rsidRPr="004A197D">
        <w:lastRenderedPageBreak/>
        <w:t xml:space="preserve">outcomes and well-being suffer. Those inequities shape academic trajectories and social experiences that persist </w:t>
      </w:r>
      <w:proofErr w:type="gramStart"/>
      <w:r w:rsidRPr="004A197D">
        <w:t>into</w:t>
      </w:r>
      <w:proofErr w:type="gramEnd"/>
      <w:r w:rsidRPr="004A197D">
        <w:t xml:space="preserve"> middle and high school.</w:t>
      </w:r>
    </w:p>
    <w:p w14:paraId="040DBDFF" w14:textId="77777777" w:rsidR="00C87B1B" w:rsidRPr="004A197D" w:rsidRDefault="00C87B1B" w:rsidP="004A197D">
      <w:r w:rsidRPr="004A197D">
        <w:t>That is precisely why III is so critical. No school in the district has exceeded the 40% threshold since III began. And when imbalances have emerged, as recorded in 2024-2025, the 5% variance contained them. Raising the variance to 10% would reverse progress, returning us to the pre-III reality where schools were stratified by income. Calling that “common sense” or claiming it “strengthens III” misreads or misrepresents the data. A 10% variance may sound minor, but in practice, it reintroduces segregation. It’s also worth noting that 5% variance was never meant to be perfect; it’s a reasonable target compared with 0% variance, which would be operationally unrealistic. The 5% threshold reflects a balance between precision and practicality, recognizing the need for system flexibility rather than perfection.</w:t>
      </w:r>
    </w:p>
    <w:p w14:paraId="1E3E9A4F" w14:textId="77777777" w:rsidR="00C87B1B" w:rsidRPr="004A197D" w:rsidRDefault="00C87B1B" w:rsidP="004A197D">
      <w:r w:rsidRPr="004A197D">
        <w:t xml:space="preserve">Supporters of a higher variance also argue for proximity-based placement in the name of efficiency. But that argument was already addressed in the redundant analysis the Board commissioned. When the Alves group compared variance at 5% and 10%, the results showed that proximity-based placement changed closest school assignments by </w:t>
      </w:r>
      <w:proofErr w:type="gramStart"/>
      <w:r w:rsidRPr="004A197D">
        <w:t>3%—</w:t>
      </w:r>
      <w:proofErr w:type="gramEnd"/>
      <w:r w:rsidRPr="004A197D">
        <w:t>about 15 students districtwide. It makes little sense to reexamine questions that already have answers. We already know higher variance won’t improve efficiency; it only undermines balance.</w:t>
      </w:r>
    </w:p>
    <w:p w14:paraId="62B284CA" w14:textId="77777777" w:rsidR="00C87B1B" w:rsidRPr="004A197D" w:rsidRDefault="00C87B1B" w:rsidP="004A197D">
      <w:r w:rsidRPr="004A197D">
        <w:t>The strength of III lies not only in its metrics but in its intent: to create classrooms where every child can thrive in a diverse environment, regardless of where they live or which school they attend. That should be the district’s north star, the heart of its roadmap to success. Our community must resist the temptation to re-litigate analyses that have already been settled and instead invest in what truly sustains integration: supporting teachers, strengthening classroom practice, and building trust within our schools.</w:t>
      </w:r>
    </w:p>
    <w:p w14:paraId="759D2D25" w14:textId="77777777" w:rsidR="00C87B1B" w:rsidRPr="004A197D" w:rsidRDefault="00C87B1B" w:rsidP="004A197D">
      <w:r w:rsidRPr="004A197D">
        <w:t xml:space="preserve">True equity is not achieved by adjusting percentages; it is achieved by nurturing environments where difference is shared, not separated. Too often, ideas proposed for III come with few constraints or safeguards. Each idea may seem reasonable in isolation, but together they represent a pattern of erosion. Any change to III should strengthen integration, not quietly dismantle it. We should not be distracted by endless debates over algorithms; our focus must remain on the purpose of </w:t>
      </w:r>
      <w:proofErr w:type="gramStart"/>
      <w:r w:rsidRPr="004A197D">
        <w:t>III—to sustain</w:t>
      </w:r>
      <w:proofErr w:type="gramEnd"/>
      <w:r w:rsidRPr="004A197D">
        <w:t xml:space="preserve"> schools that reflect our full community and nurture every child within it.</w:t>
      </w:r>
    </w:p>
    <w:p w14:paraId="35EEECEB" w14:textId="349E34CA" w:rsidR="00C87B1B" w:rsidRPr="004A197D" w:rsidRDefault="00C87B1B" w:rsidP="004A197D">
      <w:r w:rsidRPr="004A197D">
        <w:rPr>
          <w:i/>
          <w:iCs/>
        </w:rPr>
        <w:t xml:space="preserve">Dr. Qawi Telesford served on the South Orange-Maplewood Board of Education from 2022 to 2024, including as President in 2024, and is a graduate of Columbia High School. Thair </w:t>
      </w:r>
      <w:r w:rsidRPr="004A197D">
        <w:rPr>
          <w:i/>
          <w:iCs/>
        </w:rPr>
        <w:lastRenderedPageBreak/>
        <w:t>Joshua served on the Board of Education from 2020 to 2022, including as President in 2021 and 2022. Both are SOMSD parents and longtime residents.</w:t>
      </w:r>
    </w:p>
    <w:sectPr w:rsidR="00C87B1B" w:rsidRPr="004A19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5AE"/>
    <w:rsid w:val="004A197D"/>
    <w:rsid w:val="007A45AE"/>
    <w:rsid w:val="00B74CF4"/>
    <w:rsid w:val="00C87B1B"/>
    <w:rsid w:val="00F235CA"/>
    <w:rsid w:val="00F40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28EEA"/>
  <w15:chartTrackingRefBased/>
  <w15:docId w15:val="{4692AADD-AE2B-4CF3-B742-3AA3859B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5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5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5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5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5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5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5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5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5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5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5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5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5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5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5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5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5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5AE"/>
    <w:rPr>
      <w:rFonts w:eastAsiaTheme="majorEastAsia" w:cstheme="majorBidi"/>
      <w:color w:val="272727" w:themeColor="text1" w:themeTint="D8"/>
    </w:rPr>
  </w:style>
  <w:style w:type="paragraph" w:styleId="Title">
    <w:name w:val="Title"/>
    <w:basedOn w:val="Normal"/>
    <w:next w:val="Normal"/>
    <w:link w:val="TitleChar"/>
    <w:uiPriority w:val="10"/>
    <w:qFormat/>
    <w:rsid w:val="007A45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5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5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5AE"/>
    <w:pPr>
      <w:spacing w:before="160"/>
      <w:jc w:val="center"/>
    </w:pPr>
    <w:rPr>
      <w:i/>
      <w:iCs/>
      <w:color w:val="404040" w:themeColor="text1" w:themeTint="BF"/>
    </w:rPr>
  </w:style>
  <w:style w:type="character" w:customStyle="1" w:styleId="QuoteChar">
    <w:name w:val="Quote Char"/>
    <w:basedOn w:val="DefaultParagraphFont"/>
    <w:link w:val="Quote"/>
    <w:uiPriority w:val="29"/>
    <w:rsid w:val="007A45AE"/>
    <w:rPr>
      <w:i/>
      <w:iCs/>
      <w:color w:val="404040" w:themeColor="text1" w:themeTint="BF"/>
    </w:rPr>
  </w:style>
  <w:style w:type="paragraph" w:styleId="ListParagraph">
    <w:name w:val="List Paragraph"/>
    <w:basedOn w:val="Normal"/>
    <w:uiPriority w:val="34"/>
    <w:qFormat/>
    <w:rsid w:val="007A45AE"/>
    <w:pPr>
      <w:ind w:left="720"/>
      <w:contextualSpacing/>
    </w:pPr>
  </w:style>
  <w:style w:type="character" w:styleId="IntenseEmphasis">
    <w:name w:val="Intense Emphasis"/>
    <w:basedOn w:val="DefaultParagraphFont"/>
    <w:uiPriority w:val="21"/>
    <w:qFormat/>
    <w:rsid w:val="007A45AE"/>
    <w:rPr>
      <w:i/>
      <w:iCs/>
      <w:color w:val="0F4761" w:themeColor="accent1" w:themeShade="BF"/>
    </w:rPr>
  </w:style>
  <w:style w:type="paragraph" w:styleId="IntenseQuote">
    <w:name w:val="Intense Quote"/>
    <w:basedOn w:val="Normal"/>
    <w:next w:val="Normal"/>
    <w:link w:val="IntenseQuoteChar"/>
    <w:uiPriority w:val="30"/>
    <w:qFormat/>
    <w:rsid w:val="007A45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5AE"/>
    <w:rPr>
      <w:i/>
      <w:iCs/>
      <w:color w:val="0F4761" w:themeColor="accent1" w:themeShade="BF"/>
    </w:rPr>
  </w:style>
  <w:style w:type="character" w:styleId="IntenseReference">
    <w:name w:val="Intense Reference"/>
    <w:basedOn w:val="DefaultParagraphFont"/>
    <w:uiPriority w:val="32"/>
    <w:qFormat/>
    <w:rsid w:val="007A45AE"/>
    <w:rPr>
      <w:b/>
      <w:bCs/>
      <w:smallCaps/>
      <w:color w:val="0F4761" w:themeColor="accent1" w:themeShade="BF"/>
      <w:spacing w:val="5"/>
    </w:rPr>
  </w:style>
  <w:style w:type="character" w:styleId="Hyperlink">
    <w:name w:val="Hyperlink"/>
    <w:basedOn w:val="DefaultParagraphFont"/>
    <w:uiPriority w:val="99"/>
    <w:unhideWhenUsed/>
    <w:rsid w:val="007A45AE"/>
    <w:rPr>
      <w:color w:val="467886" w:themeColor="hyperlink"/>
      <w:u w:val="single"/>
    </w:rPr>
  </w:style>
  <w:style w:type="character" w:styleId="UnresolvedMention">
    <w:name w:val="Unresolved Mention"/>
    <w:basedOn w:val="DefaultParagraphFont"/>
    <w:uiPriority w:val="99"/>
    <w:semiHidden/>
    <w:unhideWhenUsed/>
    <w:rsid w:val="007A4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339">
      <w:bodyDiv w:val="1"/>
      <w:marLeft w:val="0"/>
      <w:marRight w:val="0"/>
      <w:marTop w:val="0"/>
      <w:marBottom w:val="0"/>
      <w:divBdr>
        <w:top w:val="none" w:sz="0" w:space="0" w:color="auto"/>
        <w:left w:val="none" w:sz="0" w:space="0" w:color="auto"/>
        <w:bottom w:val="none" w:sz="0" w:space="0" w:color="auto"/>
        <w:right w:val="none" w:sz="0" w:space="0" w:color="auto"/>
      </w:divBdr>
    </w:div>
    <w:div w:id="128203779">
      <w:bodyDiv w:val="1"/>
      <w:marLeft w:val="0"/>
      <w:marRight w:val="0"/>
      <w:marTop w:val="0"/>
      <w:marBottom w:val="0"/>
      <w:divBdr>
        <w:top w:val="none" w:sz="0" w:space="0" w:color="auto"/>
        <w:left w:val="none" w:sz="0" w:space="0" w:color="auto"/>
        <w:bottom w:val="none" w:sz="0" w:space="0" w:color="auto"/>
        <w:right w:val="none" w:sz="0" w:space="0" w:color="auto"/>
      </w:divBdr>
    </w:div>
    <w:div w:id="288126739">
      <w:bodyDiv w:val="1"/>
      <w:marLeft w:val="0"/>
      <w:marRight w:val="0"/>
      <w:marTop w:val="0"/>
      <w:marBottom w:val="0"/>
      <w:divBdr>
        <w:top w:val="none" w:sz="0" w:space="0" w:color="auto"/>
        <w:left w:val="none" w:sz="0" w:space="0" w:color="auto"/>
        <w:bottom w:val="none" w:sz="0" w:space="0" w:color="auto"/>
        <w:right w:val="none" w:sz="0" w:space="0" w:color="auto"/>
      </w:divBdr>
    </w:div>
    <w:div w:id="319046557">
      <w:bodyDiv w:val="1"/>
      <w:marLeft w:val="0"/>
      <w:marRight w:val="0"/>
      <w:marTop w:val="0"/>
      <w:marBottom w:val="0"/>
      <w:divBdr>
        <w:top w:val="none" w:sz="0" w:space="0" w:color="auto"/>
        <w:left w:val="none" w:sz="0" w:space="0" w:color="auto"/>
        <w:bottom w:val="none" w:sz="0" w:space="0" w:color="auto"/>
        <w:right w:val="none" w:sz="0" w:space="0" w:color="auto"/>
      </w:divBdr>
    </w:div>
    <w:div w:id="1511338231">
      <w:bodyDiv w:val="1"/>
      <w:marLeft w:val="0"/>
      <w:marRight w:val="0"/>
      <w:marTop w:val="0"/>
      <w:marBottom w:val="0"/>
      <w:divBdr>
        <w:top w:val="none" w:sz="0" w:space="0" w:color="auto"/>
        <w:left w:val="none" w:sz="0" w:space="0" w:color="auto"/>
        <w:bottom w:val="none" w:sz="0" w:space="0" w:color="auto"/>
        <w:right w:val="none" w:sz="0" w:space="0" w:color="auto"/>
      </w:divBdr>
    </w:div>
    <w:div w:id="209770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mc.ncbi.nlm.nih.gov/articles/PMC3086272/" TargetMode="External"/><Relationship Id="rId5" Type="http://schemas.openxmlformats.org/officeDocument/2006/relationships/hyperlink" Target="https://drive.google.com/file/d/1Mtia_gy-4Ch3NYbi1ie27urDYEhMzMDc/view" TargetMode="External"/><Relationship Id="rId4" Type="http://schemas.openxmlformats.org/officeDocument/2006/relationships/hyperlink" Target="https://drive.google.com/file/d/1Mtia_gy-4Ch3NYbi1ie27urDYEhMzMDc/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903</Words>
  <Characters>5005</Characters>
  <Application>Microsoft Office Word</Application>
  <DocSecurity>0</DocSecurity>
  <Lines>68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Integration Does Not Happen by Chance: The Case for Staying True to III</dc:title>
  <dc:subject/>
  <dc:creator>Qawi Telesford;Thair Joshua</dc:creator>
  <cp:keywords/>
  <dc:description/>
  <cp:lastModifiedBy>Qawi Telesford</cp:lastModifiedBy>
  <cp:revision>3</cp:revision>
  <dcterms:created xsi:type="dcterms:W3CDTF">2025-10-28T16:38:00Z</dcterms:created>
  <dcterms:modified xsi:type="dcterms:W3CDTF">2025-10-28T16:44:00Z</dcterms:modified>
</cp:coreProperties>
</file>