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91D5" w14:textId="77777777" w:rsidR="00CD5D20" w:rsidRPr="002E46CA" w:rsidRDefault="00CD5D20" w:rsidP="00CD5D20">
      <w:pPr>
        <w:rPr>
          <w:b/>
          <w:bCs/>
          <w:sz w:val="28"/>
          <w:szCs w:val="28"/>
        </w:rPr>
      </w:pPr>
      <w:r w:rsidRPr="002E46CA">
        <w:rPr>
          <w:b/>
          <w:bCs/>
          <w:sz w:val="28"/>
          <w:szCs w:val="28"/>
        </w:rPr>
        <w:t xml:space="preserve">Why We Need to Stay </w:t>
      </w:r>
      <w:proofErr w:type="gramStart"/>
      <w:r w:rsidRPr="002E46CA">
        <w:rPr>
          <w:b/>
          <w:bCs/>
          <w:sz w:val="28"/>
          <w:szCs w:val="28"/>
        </w:rPr>
        <w:t>the Course on</w:t>
      </w:r>
      <w:proofErr w:type="gramEnd"/>
      <w:r w:rsidRPr="002E46CA">
        <w:rPr>
          <w:b/>
          <w:bCs/>
          <w:sz w:val="28"/>
          <w:szCs w:val="28"/>
        </w:rPr>
        <w:t xml:space="preserve"> III</w:t>
      </w:r>
    </w:p>
    <w:p w14:paraId="14008E05" w14:textId="77777777" w:rsidR="00CD5D20" w:rsidRPr="00CD5D20" w:rsidRDefault="00CD5D20" w:rsidP="00CD5D20">
      <w:r w:rsidRPr="00CD5D20">
        <w:t>By Dr. Qawi Telesford and Thair Joshua</w:t>
      </w:r>
    </w:p>
    <w:p w14:paraId="7E5AC804" w14:textId="77777777" w:rsidR="00CD5D20" w:rsidRPr="00CD5D20" w:rsidRDefault="00CD5D20" w:rsidP="00CD5D20">
      <w:r w:rsidRPr="00CD5D20">
        <w:t>Five years into the Intentional Integration Initiative (III), South Orange-Maplewood continues to move closer to a school system that reflects our community’s diversity. Alongside this progress, legitimate concerns have emerged about transportation: students arriving late, long routes, and inconsistent schedules. But increasingly, transportation inadequacies are being recast as problems caused by integration.</w:t>
      </w:r>
    </w:p>
    <w:p w14:paraId="7BB845D9" w14:textId="77777777" w:rsidR="00CD5D20" w:rsidRPr="00CD5D20" w:rsidRDefault="00CD5D20" w:rsidP="00CD5D20">
      <w:r w:rsidRPr="00CD5D20">
        <w:t>A persistent misunderstanding is the belief that integration depends on transportation. It does not. When III was introduced, the district did not expand busing because it lacked the capacity to do so; the district had already outsourced most of its fleet and 80% of routes in the previous decade, and budgets were constrained. From the start, III was designed to balance socioeconomic levels in schools, not to redesign transportation.</w:t>
      </w:r>
    </w:p>
    <w:p w14:paraId="675C9489" w14:textId="77777777" w:rsidR="00CD5D20" w:rsidRPr="00CD5D20" w:rsidRDefault="00CD5D20" w:rsidP="00CD5D20">
      <w:r w:rsidRPr="00CD5D20">
        <w:t xml:space="preserve">Transportation supports access, but it does not create integration. It was prudent for the Board to expand courtesy transportation to all elementary schools, but the recent transportation problems have been incorrectly framed as being caused by integration. Integration is not about buses or routes; it is about what happens in the classroom: </w:t>
      </w:r>
      <w:proofErr w:type="gramStart"/>
      <w:r w:rsidRPr="00CD5D20">
        <w:t>who</w:t>
      </w:r>
      <w:proofErr w:type="gramEnd"/>
      <w:r w:rsidRPr="00CD5D20">
        <w:t xml:space="preserve"> learns together and how we ensure that every child feels equally seen and supported.</w:t>
      </w:r>
    </w:p>
    <w:p w14:paraId="65BB2B9A" w14:textId="77777777" w:rsidR="00CD5D20" w:rsidRPr="00CD5D20" w:rsidRDefault="00CD5D20" w:rsidP="00CD5D20">
      <w:r w:rsidRPr="00CD5D20">
        <w:t xml:space="preserve">Our transportation challenges are operational, not philosophical. Should the district allocate a larger transportation budget? Eliminate tiered routes? Revisit subscription </w:t>
      </w:r>
      <w:proofErr w:type="gramStart"/>
      <w:r w:rsidRPr="00CD5D20">
        <w:t>busing?</w:t>
      </w:r>
      <w:proofErr w:type="gramEnd"/>
      <w:r w:rsidRPr="00CD5D20">
        <w:t xml:space="preserve"> Or perhaps adjust mileage requirements? Could expanded before- and after-care programs help by staggering arrival and dismissal times, thus providing more flexibility to improve route efficiency? These are the logistical questions that deserve attention.</w:t>
      </w:r>
    </w:p>
    <w:p w14:paraId="588498FF" w14:textId="77777777" w:rsidR="00CD5D20" w:rsidRPr="00CD5D20" w:rsidRDefault="00CD5D20" w:rsidP="00CD5D20">
      <w:r w:rsidRPr="00CD5D20">
        <w:t>What is not legitimate is using transportation as a pretext to weaken integration. Yet that is increasingly what we see: proposals introduced without clear limits or safeguards, in the form of waitlists, “like-for-like” transfers, altered hardship definitions, higher variance, or greater proximity placement. Each may seem reasonable in isolation, but together they reflect a pattern that erodes III.</w:t>
      </w:r>
    </w:p>
    <w:p w14:paraId="71EE579C" w14:textId="77777777" w:rsidR="00CD5D20" w:rsidRPr="00CD5D20" w:rsidRDefault="00CD5D20" w:rsidP="00CD5D20">
      <w:r w:rsidRPr="00CD5D20">
        <w:t>Some have suggested that South Orange-Maplewood should look to Cambridge, Massachusetts, pointing to its controlled-choice model and 10% variance. But Cambridge’s population and school structure, which include magnet and immersion programs, make its model fundamentally different from ours.</w:t>
      </w:r>
    </w:p>
    <w:p w14:paraId="5FA3E7DE" w14:textId="009B4AE8" w:rsidR="00CD5D20" w:rsidRPr="00CD5D20" w:rsidRDefault="00CD5D20" w:rsidP="00CD5D20">
      <w:r w:rsidRPr="00CD5D20">
        <w:t>Even with these factors in mind, the demographic reality in Cambridge shows the limits of that model.</w:t>
      </w:r>
      <w:r>
        <w:t xml:space="preserve"> </w:t>
      </w:r>
      <w:hyperlink r:id="rId4" w:history="1">
        <w:r w:rsidRPr="00CD5D20">
          <w:rPr>
            <w:rStyle w:val="Hyperlink"/>
            <w:rFonts w:eastAsiaTheme="majorEastAsia" w:cs="Arial"/>
            <w:spacing w:val="-10"/>
            <w:kern w:val="28"/>
          </w:rPr>
          <w:t>Enrollment data from Cambridge’s 2024-2025 kindergarten</w:t>
        </w:r>
      </w:hyperlink>
      <w:r w:rsidRPr="00CD5D20">
        <w:t xml:space="preserve"> shows that of 562 students, 38% were classified as low-income. Yet two schools, Fletcher-Maynard Academy </w:t>
      </w:r>
      <w:r w:rsidRPr="00CD5D20">
        <w:lastRenderedPageBreak/>
        <w:t>and Kennedy-Longfellow, had 71% and 84% low-income students and were majority Black, while Maria L. Baldwin School is majority white and under 20% low-income. The</w:t>
      </w:r>
      <w:r>
        <w:t xml:space="preserve"> </w:t>
      </w:r>
      <w:hyperlink r:id="rId5" w:history="1">
        <w:r w:rsidRPr="00CD5D20">
          <w:rPr>
            <w:rStyle w:val="Hyperlink"/>
            <w:rFonts w:eastAsiaTheme="majorEastAsia" w:cs="Arial"/>
            <w:spacing w:val="-10"/>
            <w:kern w:val="28"/>
          </w:rPr>
          <w:t>Cambridge School Committee voted to close Kennedy-Longfellow last year</w:t>
        </w:r>
      </w:hyperlink>
      <w:r w:rsidRPr="00CD5D20">
        <w:t>, citing “disproportionate concentrations of students designated as high-needs perpetuating cycles of inequity.” Fletcher-Maynard, the other majority-Black school, enrolls just 2% white students in a district that is 28% white.</w:t>
      </w:r>
    </w:p>
    <w:p w14:paraId="2E031494" w14:textId="77777777" w:rsidR="00CD5D20" w:rsidRPr="00CD5D20" w:rsidRDefault="00CD5D20" w:rsidP="00CD5D20">
      <w:r w:rsidRPr="00CD5D20">
        <w:t>South Orange-Maplewood is a different community, but aspects of Cambridge’s imbalance echo what Dr. Edward Fergus observed when he visited our high school: he could look at a classroom and tell which level the class was by its racial makeup. Just as we moved past academic tracking in 2018, III helps us move away from the kind of school-level segregation still visible in Cambridge, where one can walk onto a campus and intuitively identify which is the “Black school” and which is the “white school.” We are building schools that share cultures, demographics, and opportunities. Borrowing another district’s blueprint without context would be a mistake.</w:t>
      </w:r>
    </w:p>
    <w:p w14:paraId="47393EF1" w14:textId="77777777" w:rsidR="00CD5D20" w:rsidRPr="00CD5D20" w:rsidRDefault="00CD5D20" w:rsidP="00CD5D20">
      <w:r w:rsidRPr="00CD5D20">
        <w:t>Behind many of the proposals that weaken III lies a familiar assumption: that integration requires too much effort. More troubling is the notion that rising housing prices will “price out” lower-income residents, making intentional integration unnecessary. This view, echoed by some current members of the Board of Education, ignores both the law and reality.</w:t>
      </w:r>
    </w:p>
    <w:p w14:paraId="7A3080D5" w14:textId="758DF985" w:rsidR="00CD5D20" w:rsidRPr="00CD5D20" w:rsidRDefault="00CD5D20" w:rsidP="00CD5D20">
      <w:r w:rsidRPr="00CD5D20">
        <w:t xml:space="preserve">The Fair Housing Act of 2024, along with the state’s </w:t>
      </w:r>
      <w:hyperlink r:id="rId6" w:history="1">
        <w:r w:rsidRPr="00CD5D20">
          <w:rPr>
            <w:rStyle w:val="Hyperlink"/>
            <w:rFonts w:eastAsiaTheme="majorEastAsia" w:cs="Arial"/>
            <w:spacing w:val="-10"/>
            <w:kern w:val="28"/>
          </w:rPr>
          <w:t>Fair Share Housing Obligations for 2025-2035</w:t>
        </w:r>
      </w:hyperlink>
      <w:r w:rsidRPr="00CD5D20">
        <w:t>, requires South Orange to add 163 affordable units and Maplewood to add 216, nearly 380 new units by 2035. Another assessment will be conducted in the next decade, which demonstrates that these legal obligations are not abstract; affordable housing and socioeconomic diversity will always be part of our community.</w:t>
      </w:r>
    </w:p>
    <w:p w14:paraId="31CB710D" w14:textId="77777777" w:rsidR="00CD5D20" w:rsidRPr="00CD5D20" w:rsidRDefault="00CD5D20" w:rsidP="00CD5D20">
      <w:r w:rsidRPr="00CD5D20">
        <w:t>The idea that demographic change will erase the need for integration contradicts both state law and our community’s values. No matter how affluent our towns become, there will always be families across the socioeconomic spectrum. We will never “age out” or “price out” of the need for balance. Integration is an ongoing commitment.</w:t>
      </w:r>
    </w:p>
    <w:p w14:paraId="64BCDB5C" w14:textId="77777777" w:rsidR="00CD5D20" w:rsidRPr="00CD5D20" w:rsidRDefault="00CD5D20" w:rsidP="00CD5D20">
      <w:r w:rsidRPr="00CD5D20">
        <w:t>The Intentional Integration Initiative represents the best of who we are. It is not a numbers exercise. Rather, it is a moral statement about what kind of community we want to be. III affirms that every child deserves access to diverse classrooms, shared experiences, and equal opportunity.</w:t>
      </w:r>
    </w:p>
    <w:p w14:paraId="3C3837E2" w14:textId="77777777" w:rsidR="00CD5D20" w:rsidRPr="00CD5D20" w:rsidRDefault="00CD5D20" w:rsidP="00CD5D20">
      <w:r w:rsidRPr="00CD5D20">
        <w:t>People move here because of that commitment, because South Orange-Maplewood stands for inclusion and fairness. Keeping that promise requires effort, consistency, and courage, especially when the easier path tempts us to stop doing the hard work.</w:t>
      </w:r>
    </w:p>
    <w:p w14:paraId="53C49C50" w14:textId="77777777" w:rsidR="00CD5D20" w:rsidRPr="00CD5D20" w:rsidRDefault="00CD5D20" w:rsidP="00CD5D20">
      <w:r w:rsidRPr="00CD5D20">
        <w:lastRenderedPageBreak/>
        <w:t xml:space="preserve">Integration can only improve if we </w:t>
      </w:r>
      <w:proofErr w:type="gramStart"/>
      <w:r w:rsidRPr="00CD5D20">
        <w:t>stay</w:t>
      </w:r>
      <w:proofErr w:type="gramEnd"/>
      <w:r w:rsidRPr="00CD5D20">
        <w:t xml:space="preserve"> the course, not reverse what we have achieved.</w:t>
      </w:r>
    </w:p>
    <w:p w14:paraId="38AD8048" w14:textId="77777777" w:rsidR="00CD5D20" w:rsidRPr="00CD5D20" w:rsidRDefault="00CD5D20" w:rsidP="00CD5D20">
      <w:r w:rsidRPr="00CD5D20">
        <w:rPr>
          <w:i/>
          <w:iCs/>
        </w:rPr>
        <w:t>Dr. Qawi Telesford served on the South Orange-Maplewood Board of Education from 2022 to 2024, including as President in 2024, and is a graduate of Columbia High School. Thair Joshua served on the Board of Education from 2020 to 2022, including as President in 2021 and 2022. Both are SOMSD parents and longtime residents.</w:t>
      </w:r>
    </w:p>
    <w:p w14:paraId="5D651A72" w14:textId="64C81C2B" w:rsidR="00EE0718" w:rsidRPr="00CD5D20" w:rsidRDefault="00EE0718" w:rsidP="00CD5D20"/>
    <w:sectPr w:rsidR="00EE0718" w:rsidRPr="00CD5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18"/>
    <w:rsid w:val="00032589"/>
    <w:rsid w:val="001317CD"/>
    <w:rsid w:val="001B7FAD"/>
    <w:rsid w:val="002E46CA"/>
    <w:rsid w:val="0049283E"/>
    <w:rsid w:val="00540317"/>
    <w:rsid w:val="00762BB0"/>
    <w:rsid w:val="008C7874"/>
    <w:rsid w:val="00A57E5F"/>
    <w:rsid w:val="00B74CF4"/>
    <w:rsid w:val="00CD5D20"/>
    <w:rsid w:val="00DA20AC"/>
    <w:rsid w:val="00EB1309"/>
    <w:rsid w:val="00EE0718"/>
    <w:rsid w:val="00F4061C"/>
    <w:rsid w:val="00FA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4177"/>
  <w15:chartTrackingRefBased/>
  <w15:docId w15:val="{1F6EF6C9-D334-4D29-A47B-D12A82E8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718"/>
    <w:rPr>
      <w:rFonts w:eastAsiaTheme="majorEastAsia" w:cstheme="majorBidi"/>
      <w:color w:val="272727" w:themeColor="text1" w:themeTint="D8"/>
    </w:rPr>
  </w:style>
  <w:style w:type="paragraph" w:styleId="Title">
    <w:name w:val="Title"/>
    <w:basedOn w:val="Normal"/>
    <w:next w:val="Normal"/>
    <w:link w:val="TitleChar"/>
    <w:uiPriority w:val="10"/>
    <w:qFormat/>
    <w:rsid w:val="00EE0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718"/>
    <w:pPr>
      <w:spacing w:before="160"/>
      <w:jc w:val="center"/>
    </w:pPr>
    <w:rPr>
      <w:i/>
      <w:iCs/>
      <w:color w:val="404040" w:themeColor="text1" w:themeTint="BF"/>
    </w:rPr>
  </w:style>
  <w:style w:type="character" w:customStyle="1" w:styleId="QuoteChar">
    <w:name w:val="Quote Char"/>
    <w:basedOn w:val="DefaultParagraphFont"/>
    <w:link w:val="Quote"/>
    <w:uiPriority w:val="29"/>
    <w:rsid w:val="00EE0718"/>
    <w:rPr>
      <w:i/>
      <w:iCs/>
      <w:color w:val="404040" w:themeColor="text1" w:themeTint="BF"/>
    </w:rPr>
  </w:style>
  <w:style w:type="paragraph" w:styleId="ListParagraph">
    <w:name w:val="List Paragraph"/>
    <w:basedOn w:val="Normal"/>
    <w:uiPriority w:val="34"/>
    <w:qFormat/>
    <w:rsid w:val="00EE0718"/>
    <w:pPr>
      <w:ind w:left="720"/>
      <w:contextualSpacing/>
    </w:pPr>
  </w:style>
  <w:style w:type="character" w:styleId="IntenseEmphasis">
    <w:name w:val="Intense Emphasis"/>
    <w:basedOn w:val="DefaultParagraphFont"/>
    <w:uiPriority w:val="21"/>
    <w:qFormat/>
    <w:rsid w:val="00EE0718"/>
    <w:rPr>
      <w:i/>
      <w:iCs/>
      <w:color w:val="0F4761" w:themeColor="accent1" w:themeShade="BF"/>
    </w:rPr>
  </w:style>
  <w:style w:type="paragraph" w:styleId="IntenseQuote">
    <w:name w:val="Intense Quote"/>
    <w:basedOn w:val="Normal"/>
    <w:next w:val="Normal"/>
    <w:link w:val="IntenseQuoteChar"/>
    <w:uiPriority w:val="30"/>
    <w:qFormat/>
    <w:rsid w:val="00EE0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718"/>
    <w:rPr>
      <w:i/>
      <w:iCs/>
      <w:color w:val="0F4761" w:themeColor="accent1" w:themeShade="BF"/>
    </w:rPr>
  </w:style>
  <w:style w:type="character" w:styleId="IntenseReference">
    <w:name w:val="Intense Reference"/>
    <w:basedOn w:val="DefaultParagraphFont"/>
    <w:uiPriority w:val="32"/>
    <w:qFormat/>
    <w:rsid w:val="00EE0718"/>
    <w:rPr>
      <w:b/>
      <w:bCs/>
      <w:smallCaps/>
      <w:color w:val="0F4761" w:themeColor="accent1" w:themeShade="BF"/>
      <w:spacing w:val="5"/>
    </w:rPr>
  </w:style>
  <w:style w:type="character" w:styleId="Hyperlink">
    <w:name w:val="Hyperlink"/>
    <w:basedOn w:val="DefaultParagraphFont"/>
    <w:uiPriority w:val="99"/>
    <w:unhideWhenUsed/>
    <w:rsid w:val="001317CD"/>
    <w:rPr>
      <w:color w:val="467886" w:themeColor="hyperlink"/>
      <w:u w:val="single"/>
    </w:rPr>
  </w:style>
  <w:style w:type="character" w:styleId="UnresolvedMention">
    <w:name w:val="Unresolved Mention"/>
    <w:basedOn w:val="DefaultParagraphFont"/>
    <w:uiPriority w:val="99"/>
    <w:semiHidden/>
    <w:unhideWhenUsed/>
    <w:rsid w:val="00131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248">
      <w:bodyDiv w:val="1"/>
      <w:marLeft w:val="0"/>
      <w:marRight w:val="0"/>
      <w:marTop w:val="0"/>
      <w:marBottom w:val="0"/>
      <w:divBdr>
        <w:top w:val="none" w:sz="0" w:space="0" w:color="auto"/>
        <w:left w:val="none" w:sz="0" w:space="0" w:color="auto"/>
        <w:bottom w:val="none" w:sz="0" w:space="0" w:color="auto"/>
        <w:right w:val="none" w:sz="0" w:space="0" w:color="auto"/>
      </w:divBdr>
    </w:div>
    <w:div w:id="143081720">
      <w:bodyDiv w:val="1"/>
      <w:marLeft w:val="0"/>
      <w:marRight w:val="0"/>
      <w:marTop w:val="0"/>
      <w:marBottom w:val="0"/>
      <w:divBdr>
        <w:top w:val="none" w:sz="0" w:space="0" w:color="auto"/>
        <w:left w:val="none" w:sz="0" w:space="0" w:color="auto"/>
        <w:bottom w:val="none" w:sz="0" w:space="0" w:color="auto"/>
        <w:right w:val="none" w:sz="0" w:space="0" w:color="auto"/>
      </w:divBdr>
    </w:div>
    <w:div w:id="168637905">
      <w:bodyDiv w:val="1"/>
      <w:marLeft w:val="0"/>
      <w:marRight w:val="0"/>
      <w:marTop w:val="0"/>
      <w:marBottom w:val="0"/>
      <w:divBdr>
        <w:top w:val="none" w:sz="0" w:space="0" w:color="auto"/>
        <w:left w:val="none" w:sz="0" w:space="0" w:color="auto"/>
        <w:bottom w:val="none" w:sz="0" w:space="0" w:color="auto"/>
        <w:right w:val="none" w:sz="0" w:space="0" w:color="auto"/>
      </w:divBdr>
    </w:div>
    <w:div w:id="174811009">
      <w:bodyDiv w:val="1"/>
      <w:marLeft w:val="0"/>
      <w:marRight w:val="0"/>
      <w:marTop w:val="0"/>
      <w:marBottom w:val="0"/>
      <w:divBdr>
        <w:top w:val="none" w:sz="0" w:space="0" w:color="auto"/>
        <w:left w:val="none" w:sz="0" w:space="0" w:color="auto"/>
        <w:bottom w:val="none" w:sz="0" w:space="0" w:color="auto"/>
        <w:right w:val="none" w:sz="0" w:space="0" w:color="auto"/>
      </w:divBdr>
    </w:div>
    <w:div w:id="208735483">
      <w:bodyDiv w:val="1"/>
      <w:marLeft w:val="0"/>
      <w:marRight w:val="0"/>
      <w:marTop w:val="0"/>
      <w:marBottom w:val="0"/>
      <w:divBdr>
        <w:top w:val="none" w:sz="0" w:space="0" w:color="auto"/>
        <w:left w:val="none" w:sz="0" w:space="0" w:color="auto"/>
        <w:bottom w:val="none" w:sz="0" w:space="0" w:color="auto"/>
        <w:right w:val="none" w:sz="0" w:space="0" w:color="auto"/>
      </w:divBdr>
    </w:div>
    <w:div w:id="228466708">
      <w:bodyDiv w:val="1"/>
      <w:marLeft w:val="0"/>
      <w:marRight w:val="0"/>
      <w:marTop w:val="0"/>
      <w:marBottom w:val="0"/>
      <w:divBdr>
        <w:top w:val="none" w:sz="0" w:space="0" w:color="auto"/>
        <w:left w:val="none" w:sz="0" w:space="0" w:color="auto"/>
        <w:bottom w:val="none" w:sz="0" w:space="0" w:color="auto"/>
        <w:right w:val="none" w:sz="0" w:space="0" w:color="auto"/>
      </w:divBdr>
    </w:div>
    <w:div w:id="319699147">
      <w:bodyDiv w:val="1"/>
      <w:marLeft w:val="0"/>
      <w:marRight w:val="0"/>
      <w:marTop w:val="0"/>
      <w:marBottom w:val="0"/>
      <w:divBdr>
        <w:top w:val="none" w:sz="0" w:space="0" w:color="auto"/>
        <w:left w:val="none" w:sz="0" w:space="0" w:color="auto"/>
        <w:bottom w:val="none" w:sz="0" w:space="0" w:color="auto"/>
        <w:right w:val="none" w:sz="0" w:space="0" w:color="auto"/>
      </w:divBdr>
    </w:div>
    <w:div w:id="381289465">
      <w:bodyDiv w:val="1"/>
      <w:marLeft w:val="0"/>
      <w:marRight w:val="0"/>
      <w:marTop w:val="0"/>
      <w:marBottom w:val="0"/>
      <w:divBdr>
        <w:top w:val="none" w:sz="0" w:space="0" w:color="auto"/>
        <w:left w:val="none" w:sz="0" w:space="0" w:color="auto"/>
        <w:bottom w:val="none" w:sz="0" w:space="0" w:color="auto"/>
        <w:right w:val="none" w:sz="0" w:space="0" w:color="auto"/>
      </w:divBdr>
    </w:div>
    <w:div w:id="396630441">
      <w:bodyDiv w:val="1"/>
      <w:marLeft w:val="0"/>
      <w:marRight w:val="0"/>
      <w:marTop w:val="0"/>
      <w:marBottom w:val="0"/>
      <w:divBdr>
        <w:top w:val="none" w:sz="0" w:space="0" w:color="auto"/>
        <w:left w:val="none" w:sz="0" w:space="0" w:color="auto"/>
        <w:bottom w:val="none" w:sz="0" w:space="0" w:color="auto"/>
        <w:right w:val="none" w:sz="0" w:space="0" w:color="auto"/>
      </w:divBdr>
    </w:div>
    <w:div w:id="607390023">
      <w:bodyDiv w:val="1"/>
      <w:marLeft w:val="0"/>
      <w:marRight w:val="0"/>
      <w:marTop w:val="0"/>
      <w:marBottom w:val="0"/>
      <w:divBdr>
        <w:top w:val="none" w:sz="0" w:space="0" w:color="auto"/>
        <w:left w:val="none" w:sz="0" w:space="0" w:color="auto"/>
        <w:bottom w:val="none" w:sz="0" w:space="0" w:color="auto"/>
        <w:right w:val="none" w:sz="0" w:space="0" w:color="auto"/>
      </w:divBdr>
    </w:div>
    <w:div w:id="618611030">
      <w:bodyDiv w:val="1"/>
      <w:marLeft w:val="0"/>
      <w:marRight w:val="0"/>
      <w:marTop w:val="0"/>
      <w:marBottom w:val="0"/>
      <w:divBdr>
        <w:top w:val="none" w:sz="0" w:space="0" w:color="auto"/>
        <w:left w:val="none" w:sz="0" w:space="0" w:color="auto"/>
        <w:bottom w:val="none" w:sz="0" w:space="0" w:color="auto"/>
        <w:right w:val="none" w:sz="0" w:space="0" w:color="auto"/>
      </w:divBdr>
    </w:div>
    <w:div w:id="690453624">
      <w:bodyDiv w:val="1"/>
      <w:marLeft w:val="0"/>
      <w:marRight w:val="0"/>
      <w:marTop w:val="0"/>
      <w:marBottom w:val="0"/>
      <w:divBdr>
        <w:top w:val="none" w:sz="0" w:space="0" w:color="auto"/>
        <w:left w:val="none" w:sz="0" w:space="0" w:color="auto"/>
        <w:bottom w:val="none" w:sz="0" w:space="0" w:color="auto"/>
        <w:right w:val="none" w:sz="0" w:space="0" w:color="auto"/>
      </w:divBdr>
    </w:div>
    <w:div w:id="957761268">
      <w:bodyDiv w:val="1"/>
      <w:marLeft w:val="0"/>
      <w:marRight w:val="0"/>
      <w:marTop w:val="0"/>
      <w:marBottom w:val="0"/>
      <w:divBdr>
        <w:top w:val="none" w:sz="0" w:space="0" w:color="auto"/>
        <w:left w:val="none" w:sz="0" w:space="0" w:color="auto"/>
        <w:bottom w:val="none" w:sz="0" w:space="0" w:color="auto"/>
        <w:right w:val="none" w:sz="0" w:space="0" w:color="auto"/>
      </w:divBdr>
    </w:div>
    <w:div w:id="1072198648">
      <w:bodyDiv w:val="1"/>
      <w:marLeft w:val="0"/>
      <w:marRight w:val="0"/>
      <w:marTop w:val="0"/>
      <w:marBottom w:val="0"/>
      <w:divBdr>
        <w:top w:val="none" w:sz="0" w:space="0" w:color="auto"/>
        <w:left w:val="none" w:sz="0" w:space="0" w:color="auto"/>
        <w:bottom w:val="none" w:sz="0" w:space="0" w:color="auto"/>
        <w:right w:val="none" w:sz="0" w:space="0" w:color="auto"/>
      </w:divBdr>
    </w:div>
    <w:div w:id="1120731823">
      <w:bodyDiv w:val="1"/>
      <w:marLeft w:val="0"/>
      <w:marRight w:val="0"/>
      <w:marTop w:val="0"/>
      <w:marBottom w:val="0"/>
      <w:divBdr>
        <w:top w:val="none" w:sz="0" w:space="0" w:color="auto"/>
        <w:left w:val="none" w:sz="0" w:space="0" w:color="auto"/>
        <w:bottom w:val="none" w:sz="0" w:space="0" w:color="auto"/>
        <w:right w:val="none" w:sz="0" w:space="0" w:color="auto"/>
      </w:divBdr>
    </w:div>
    <w:div w:id="1192112028">
      <w:bodyDiv w:val="1"/>
      <w:marLeft w:val="0"/>
      <w:marRight w:val="0"/>
      <w:marTop w:val="0"/>
      <w:marBottom w:val="0"/>
      <w:divBdr>
        <w:top w:val="none" w:sz="0" w:space="0" w:color="auto"/>
        <w:left w:val="none" w:sz="0" w:space="0" w:color="auto"/>
        <w:bottom w:val="none" w:sz="0" w:space="0" w:color="auto"/>
        <w:right w:val="none" w:sz="0" w:space="0" w:color="auto"/>
      </w:divBdr>
    </w:div>
    <w:div w:id="1206597993">
      <w:bodyDiv w:val="1"/>
      <w:marLeft w:val="0"/>
      <w:marRight w:val="0"/>
      <w:marTop w:val="0"/>
      <w:marBottom w:val="0"/>
      <w:divBdr>
        <w:top w:val="none" w:sz="0" w:space="0" w:color="auto"/>
        <w:left w:val="none" w:sz="0" w:space="0" w:color="auto"/>
        <w:bottom w:val="none" w:sz="0" w:space="0" w:color="auto"/>
        <w:right w:val="none" w:sz="0" w:space="0" w:color="auto"/>
      </w:divBdr>
    </w:div>
    <w:div w:id="1237592936">
      <w:bodyDiv w:val="1"/>
      <w:marLeft w:val="0"/>
      <w:marRight w:val="0"/>
      <w:marTop w:val="0"/>
      <w:marBottom w:val="0"/>
      <w:divBdr>
        <w:top w:val="none" w:sz="0" w:space="0" w:color="auto"/>
        <w:left w:val="none" w:sz="0" w:space="0" w:color="auto"/>
        <w:bottom w:val="none" w:sz="0" w:space="0" w:color="auto"/>
        <w:right w:val="none" w:sz="0" w:space="0" w:color="auto"/>
      </w:divBdr>
    </w:div>
    <w:div w:id="1352606911">
      <w:bodyDiv w:val="1"/>
      <w:marLeft w:val="0"/>
      <w:marRight w:val="0"/>
      <w:marTop w:val="0"/>
      <w:marBottom w:val="0"/>
      <w:divBdr>
        <w:top w:val="none" w:sz="0" w:space="0" w:color="auto"/>
        <w:left w:val="none" w:sz="0" w:space="0" w:color="auto"/>
        <w:bottom w:val="none" w:sz="0" w:space="0" w:color="auto"/>
        <w:right w:val="none" w:sz="0" w:space="0" w:color="auto"/>
      </w:divBdr>
    </w:div>
    <w:div w:id="1447697667">
      <w:bodyDiv w:val="1"/>
      <w:marLeft w:val="0"/>
      <w:marRight w:val="0"/>
      <w:marTop w:val="0"/>
      <w:marBottom w:val="0"/>
      <w:divBdr>
        <w:top w:val="none" w:sz="0" w:space="0" w:color="auto"/>
        <w:left w:val="none" w:sz="0" w:space="0" w:color="auto"/>
        <w:bottom w:val="none" w:sz="0" w:space="0" w:color="auto"/>
        <w:right w:val="none" w:sz="0" w:space="0" w:color="auto"/>
      </w:divBdr>
    </w:div>
    <w:div w:id="1542281357">
      <w:bodyDiv w:val="1"/>
      <w:marLeft w:val="0"/>
      <w:marRight w:val="0"/>
      <w:marTop w:val="0"/>
      <w:marBottom w:val="0"/>
      <w:divBdr>
        <w:top w:val="none" w:sz="0" w:space="0" w:color="auto"/>
        <w:left w:val="none" w:sz="0" w:space="0" w:color="auto"/>
        <w:bottom w:val="none" w:sz="0" w:space="0" w:color="auto"/>
        <w:right w:val="none" w:sz="0" w:space="0" w:color="auto"/>
      </w:divBdr>
    </w:div>
    <w:div w:id="1612667146">
      <w:bodyDiv w:val="1"/>
      <w:marLeft w:val="0"/>
      <w:marRight w:val="0"/>
      <w:marTop w:val="0"/>
      <w:marBottom w:val="0"/>
      <w:divBdr>
        <w:top w:val="none" w:sz="0" w:space="0" w:color="auto"/>
        <w:left w:val="none" w:sz="0" w:space="0" w:color="auto"/>
        <w:bottom w:val="none" w:sz="0" w:space="0" w:color="auto"/>
        <w:right w:val="none" w:sz="0" w:space="0" w:color="auto"/>
      </w:divBdr>
    </w:div>
    <w:div w:id="1668484643">
      <w:bodyDiv w:val="1"/>
      <w:marLeft w:val="0"/>
      <w:marRight w:val="0"/>
      <w:marTop w:val="0"/>
      <w:marBottom w:val="0"/>
      <w:divBdr>
        <w:top w:val="none" w:sz="0" w:space="0" w:color="auto"/>
        <w:left w:val="none" w:sz="0" w:space="0" w:color="auto"/>
        <w:bottom w:val="none" w:sz="0" w:space="0" w:color="auto"/>
        <w:right w:val="none" w:sz="0" w:space="0" w:color="auto"/>
      </w:divBdr>
    </w:div>
    <w:div w:id="1818256346">
      <w:bodyDiv w:val="1"/>
      <w:marLeft w:val="0"/>
      <w:marRight w:val="0"/>
      <w:marTop w:val="0"/>
      <w:marBottom w:val="0"/>
      <w:divBdr>
        <w:top w:val="none" w:sz="0" w:space="0" w:color="auto"/>
        <w:left w:val="none" w:sz="0" w:space="0" w:color="auto"/>
        <w:bottom w:val="none" w:sz="0" w:space="0" w:color="auto"/>
        <w:right w:val="none" w:sz="0" w:space="0" w:color="auto"/>
      </w:divBdr>
    </w:div>
    <w:div w:id="1912158988">
      <w:bodyDiv w:val="1"/>
      <w:marLeft w:val="0"/>
      <w:marRight w:val="0"/>
      <w:marTop w:val="0"/>
      <w:marBottom w:val="0"/>
      <w:divBdr>
        <w:top w:val="none" w:sz="0" w:space="0" w:color="auto"/>
        <w:left w:val="none" w:sz="0" w:space="0" w:color="auto"/>
        <w:bottom w:val="none" w:sz="0" w:space="0" w:color="auto"/>
        <w:right w:val="none" w:sz="0" w:space="0" w:color="auto"/>
      </w:divBdr>
    </w:div>
    <w:div w:id="1945305387">
      <w:bodyDiv w:val="1"/>
      <w:marLeft w:val="0"/>
      <w:marRight w:val="0"/>
      <w:marTop w:val="0"/>
      <w:marBottom w:val="0"/>
      <w:divBdr>
        <w:top w:val="none" w:sz="0" w:space="0" w:color="auto"/>
        <w:left w:val="none" w:sz="0" w:space="0" w:color="auto"/>
        <w:bottom w:val="none" w:sz="0" w:space="0" w:color="auto"/>
        <w:right w:val="none" w:sz="0" w:space="0" w:color="auto"/>
      </w:divBdr>
    </w:div>
    <w:div w:id="2092387407">
      <w:bodyDiv w:val="1"/>
      <w:marLeft w:val="0"/>
      <w:marRight w:val="0"/>
      <w:marTop w:val="0"/>
      <w:marBottom w:val="0"/>
      <w:divBdr>
        <w:top w:val="none" w:sz="0" w:space="0" w:color="auto"/>
        <w:left w:val="none" w:sz="0" w:space="0" w:color="auto"/>
        <w:bottom w:val="none" w:sz="0" w:space="0" w:color="auto"/>
        <w:right w:val="none" w:sz="0" w:space="0" w:color="auto"/>
      </w:divBdr>
    </w:div>
    <w:div w:id="20947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j.gov/dca/dlps/4th_Round_Numbers.shtml" TargetMode="External"/><Relationship Id="rId5" Type="http://schemas.openxmlformats.org/officeDocument/2006/relationships/hyperlink" Target="https://www.cpsd.us/district_news/klo_plan_for_students" TargetMode="External"/><Relationship Id="rId4" Type="http://schemas.openxmlformats.org/officeDocument/2006/relationships/hyperlink" Target="https://profiles.doe.mass.edu/profiles/student.aspx?orgcode=00490000&amp;orgtypecode=5&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5216</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We Need to Stay the Course on III</dc:title>
  <dc:subject/>
  <dc:creator>Qawi Telesford;Thair Joshua</dc:creator>
  <cp:keywords/>
  <dc:description/>
  <cp:lastModifiedBy>Qawi Telesford</cp:lastModifiedBy>
  <cp:revision>3</cp:revision>
  <dcterms:created xsi:type="dcterms:W3CDTF">2025-10-28T16:43:00Z</dcterms:created>
  <dcterms:modified xsi:type="dcterms:W3CDTF">2025-10-28T16:45:00Z</dcterms:modified>
</cp:coreProperties>
</file>